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Secondary</w:t>
      </w:r>
      <w:r>
        <w:t xml:space="preserve"> </w:t>
      </w:r>
      <w:r>
        <w:t xml:space="preserve">Education</w:t>
      </w:r>
      <w:r>
        <w:t xml:space="preserve"> </w:t>
      </w:r>
      <w:r>
        <w:t xml:space="preserve">within</w:t>
      </w:r>
      <w:r>
        <w:t xml:space="preserve"> </w:t>
      </w:r>
      <w:r>
        <w:t xml:space="preserve">Peru</w:t>
      </w:r>
      <w:r>
        <w:t xml:space="preserve"> </w:t>
      </w:r>
      <w:r>
        <w:t xml:space="preserve">Lima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Educational Studies</w:t>
      </w:r>
      <w:r>
        <w:br/>
      </w:r>
    </w:p>
    <w:p>
      <w:pPr>
        <w:pStyle w:val="BodyText"/>
      </w:pPr>
      <w:r>
        <w:t xml:space="preserve">Course:: Advanced Pedagogical Strategies in Latin America</w:t>
      </w:r>
    </w:p>
    <w:bookmarkStart w:id="29" w:name="X17d87f10dfb370a8b08b5278f0a8edc2b142368"/>
    <w:p>
      <w:pPr>
        <w:pStyle w:val="Heading1"/>
      </w:pPr>
      <w:r>
        <w:t xml:space="preserve">The Evolving Role of the Teacher in Secondary Education within Peru Lima</w:t>
      </w:r>
    </w:p>
    <w:p>
      <w:pPr>
        <w:pStyle w:val="FirstParagraph"/>
      </w:pPr>
      <w:r>
        <w:rPr>
          <w:bCs/>
          <w:b/>
        </w:rPr>
        <w:t xml:space="preserve">Abstract</w:t>
      </w:r>
    </w:p>
    <w:p>
      <w:pPr>
        <w:pStyle w:val="BodyText"/>
      </w:pPr>
      <w:r>
        <w:t xml:space="preserve">This term paper examines the critical dynamics surrounding secondary education in Peru, with a specific focus on the metropolitan area of Lima. It analyzes the multifaceted role of the</w:t>
      </w:r>
      <w:r>
        <w:t xml:space="preserve"> </w:t>
      </w:r>
      <w:r>
        <w:rPr>
          <w:iCs/>
          <w:i/>
        </w:rPr>
        <w:t xml:space="preserve">Teacher Secondary</w:t>
      </w:r>
      <w:r>
        <w:t xml:space="preserve">, exploring how socio-economic disparities, technological integration, and curriculum reforms shape pedagogical practices. The document argues that for educational equity to be achieved in Peru’s capital, educators must transcend traditional instructional roles to become facilitators of critical thinking and social cohesion.</w:t>
      </w:r>
    </w:p>
    <w:bookmarkStart w:id="20" w:name="i.-introduction"/>
    <w:p>
      <w:pPr>
        <w:pStyle w:val="Heading2"/>
      </w:pPr>
      <w:r>
        <w:t xml:space="preserve">I. Introduction</w:t>
      </w:r>
    </w:p>
    <w:p>
      <w:pPr>
        <w:pStyle w:val="FirstParagraph"/>
      </w:pPr>
      <w:r>
        <w:t xml:space="preserve">The educational landscape of</w:t>
      </w:r>
      <w:r>
        <w:t xml:space="preserve"> </w:t>
      </w:r>
      <w:r>
        <w:rPr>
          <w:bCs/>
          <w:b/>
        </w:rPr>
        <w:t xml:space="preserve">Peru Lima</w:t>
      </w:r>
      <w:r>
        <w:t xml:space="preserve"> </w:t>
      </w:r>
      <w:r>
        <w:t xml:space="preserve">represents a microcosm of the broader challenges facing Latin America today. As the economic and cultural capital, Lima hosts a diverse population ranging from affluent districts such as Miraflores and San Isidro to densely populated urban settlements (asentamientos humanos) in the periphery. Within this complex environment, secondary education serves as a pivotal gateway for social mobility. However, the efficacy of this system relies heavily on one central figure: the</w:t>
      </w:r>
      <w:r>
        <w:t xml:space="preserve"> </w:t>
      </w:r>
      <w:r>
        <w:rPr>
          <w:bCs/>
          <w:b/>
        </w:rPr>
        <w:t xml:space="preserve">Teacher Secondary</w:t>
      </w:r>
      <w:r>
        <w:t xml:space="preserve">. This term paper aims to dissect the professional responsibilities, challenges, and necessary adaptations required for educators operating within this unique geographical and social context.</w:t>
      </w:r>
    </w:p>
    <w:p>
      <w:pPr>
        <w:pStyle w:val="BodyText"/>
      </w:pPr>
      <w:r>
        <w:t xml:space="preserve">In recent years, Peru has undergone significant educational reforms aimed at standardizing quality across different regions. Yet, implementation varies drastically depending on location. In</w:t>
      </w:r>
      <w:r>
        <w:t xml:space="preserve"> </w:t>
      </w:r>
      <w:r>
        <w:rPr>
          <w:bCs/>
          <w:b/>
        </w:rPr>
        <w:t xml:space="preserve">Peru Lima</w:t>
      </w:r>
      <w:r>
        <w:t xml:space="preserve">, where migration from the Andean and Amazonian regions continues to drive demographic shifts, schools must cater to students with varying levels of prior schooling and linguistic backgrounds (including Quechua and Aymara speakers). Consequently, the definition of what it means to be an effective secondary teacher has evolved from mere knowledge transmission to that of a cultural broker and emotional support agent.</w:t>
      </w:r>
    </w:p>
    <w:bookmarkEnd w:id="20"/>
    <w:bookmarkStart w:id="21" w:name="X4b9fce891b4e1da4871dcfb3967d27701bdffd9"/>
    <w:p>
      <w:pPr>
        <w:pStyle w:val="Heading2"/>
      </w:pPr>
      <w:r>
        <w:t xml:space="preserve">II. The Contextual Landscape of Secondary Education in Peru Lima</w:t>
      </w:r>
    </w:p>
    <w:p>
      <w:pPr>
        <w:pStyle w:val="FirstParagraph"/>
      </w:pPr>
      <w:r>
        <w:t xml:space="preserve">To understand the role of the teacher, one must first appreciate the institutional framework. The Peruvian Ministry of Education (MINEDU) has established national curricular standards that all secondary schools must adhere to. However, the reality on the ground in</w:t>
      </w:r>
      <w:r>
        <w:t xml:space="preserve"> </w:t>
      </w:r>
      <w:r>
        <w:rPr>
          <w:bCs/>
          <w:b/>
        </w:rPr>
        <w:t xml:space="preserve">Peru Lima</w:t>
      </w:r>
      <w:r>
        <w:t xml:space="preserve"> </w:t>
      </w:r>
      <w:r>
        <w:t xml:space="preserve">is characterized by a stark dichotomy between public and private institutions.</w:t>
      </w:r>
    </w:p>
    <w:p>
      <w:pPr>
        <w:pStyle w:val="BodyText"/>
      </w:pPr>
      <w:r>
        <w:t xml:space="preserve">In public secondary schools located in marginalized districts, classrooms are often overcrowded, and resources are scarce. Here, the</w:t>
      </w:r>
      <w:r>
        <w:t xml:space="preserve"> </w:t>
      </w:r>
      <w:r>
        <w:rPr>
          <w:bCs/>
          <w:b/>
        </w:rPr>
        <w:t xml:space="preserve">Teacher Secondary</w:t>
      </w:r>
    </w:p>
    <w:p>
      <w:pPr>
        <w:pStyle w:val="BodyText"/>
      </w:pPr>
      <w:r>
        <w:t xml:space="preserve">Furthermore, the aftermath of the pandemic has exacerbated learning losses. Students in</w:t>
      </w:r>
      <w:r>
        <w:t xml:space="preserve"> </w:t>
      </w:r>
      <w:r>
        <w:rPr>
          <w:bCs/>
          <w:b/>
        </w:rPr>
        <w:t xml:space="preserve">Peru Lima</w:t>
      </w:r>
      <w:r>
        <w:t xml:space="preserve">, like their peers nationwide, experienced interrupted schooling due to remote learning initiatives that were often inaccessible to low-income families. The teacher’s role has thus expanded to include remedial education and psychological support, addressing not just academic gaps but also the trauma associated with prolonged isolation.</w:t>
      </w:r>
    </w:p>
    <w:bookmarkEnd w:id="21"/>
    <w:bookmarkStart w:id="25" w:name="X7548a2400dc21e7a250127fc2657e70e797cbe4"/>
    <w:p>
      <w:pPr>
        <w:pStyle w:val="Heading2"/>
      </w:pPr>
      <w:r>
        <w:t xml:space="preserve">III. Redefining the Role of the Teacher Secondary</w:t>
      </w:r>
    </w:p>
    <w:p>
      <w:pPr>
        <w:pStyle w:val="FirstParagraph"/>
      </w:pPr>
      <w:r>
        <w:t xml:space="preserve">The traditional model of education, where the teacher is seen as the sole authority and source of knowledge, is increasingly obsolete. In</w:t>
      </w:r>
      <w:r>
        <w:t xml:space="preserve"> </w:t>
      </w:r>
      <w:r>
        <w:rPr>
          <w:bCs/>
          <w:b/>
        </w:rPr>
        <w:t xml:space="preserve">Peru Lima</w:t>
      </w:r>
      <w:r>
        <w:t xml:space="preserve">, particularly in secondary education, students are digital natives who have access to vast amounts of information online. Therefore, the modern</w:t>
      </w:r>
      <w:r>
        <w:t xml:space="preserve"> </w:t>
      </w:r>
      <w:r>
        <w:rPr>
          <w:bCs/>
          <w:b/>
        </w:rPr>
        <w:t xml:space="preserve">Teacher Secondary</w:t>
      </w:r>
    </w:p>
    <w:bookmarkStart w:id="22" w:name="X4ac714a71df8c3c172673dd997d231a6edd71e4"/>
    <w:p>
      <w:pPr>
        <w:pStyle w:val="Heading3"/>
      </w:pPr>
      <w:r>
        <w:t xml:space="preserve">A. Pedagogical Innovation and Technology Integration</w:t>
      </w:r>
    </w:p>
    <w:p>
      <w:pPr>
        <w:pStyle w:val="FirstParagraph"/>
      </w:pPr>
      <w:r>
        <w:t xml:space="preserve">Digital literacy is no longer optional; it is a core competency required for secondary education in</w:t>
      </w:r>
      <w:r>
        <w:t xml:space="preserve"> </w:t>
      </w:r>
      <w:r>
        <w:rPr>
          <w:bCs/>
          <w:b/>
        </w:rPr>
        <w:t xml:space="preserve">Peru Lima</w:t>
      </w:r>
      <w:r>
        <w:t xml:space="preserve">. Teachers are expected to integrate technology into their lesson plans, utilizing platforms provided by the state or developing their own digital resources. However, this requires significant professional development. Many teachers in under-resourced schools lack reliable internet access or adequate devices, creating a "second level" of inequality. Thus, part of the teacher’s role is advocating for necessary resources while maximizing the use of available tools to ensure that all students acquire 21st-century skills.</w:t>
      </w:r>
    </w:p>
    <w:bookmarkEnd w:id="22"/>
    <w:bookmarkStart w:id="23" w:name="Xd62dbdc04c6eb71a9d519a2fa08e830e48bb19a"/>
    <w:p>
      <w:pPr>
        <w:pStyle w:val="Heading3"/>
      </w:pPr>
      <w:r>
        <w:t xml:space="preserve">B. Socio-Emotional Learning and Citizenship</w:t>
      </w:r>
    </w:p>
    <w:p>
      <w:pPr>
        <w:pStyle w:val="FirstParagraph"/>
      </w:pPr>
      <w:r>
        <w:t xml:space="preserve">Lima is a city marked by social stratification and occasional civil unrest. Schools in</w:t>
      </w:r>
      <w:r>
        <w:t xml:space="preserve"> </w:t>
      </w:r>
      <w:r>
        <w:rPr>
          <w:bCs/>
          <w:b/>
        </w:rPr>
        <w:t xml:space="preserve">Peru LimaTeacher Secondary</w:t>
      </w:r>
    </w:p>
    <w:bookmarkEnd w:id="23"/>
    <w:bookmarkStart w:id="24" w:name="c.-community-engagement"/>
    <w:p>
      <w:pPr>
        <w:pStyle w:val="Heading3"/>
      </w:pPr>
      <w:r>
        <w:t xml:space="preserve">C. Community Engagement</w:t>
      </w:r>
    </w:p>
    <w:p>
      <w:pPr>
        <w:pStyle w:val="FirstParagraph"/>
      </w:pPr>
      <w:r>
        <w:t xml:space="preserve">In many neighborhoods across</w:t>
      </w:r>
      <w:r>
        <w:t xml:space="preserve"> </w:t>
      </w:r>
      <w:r>
        <w:rPr>
          <w:bCs/>
          <w:b/>
        </w:rPr>
        <w:t xml:space="preserve">Peru Lima</w:t>
      </w:r>
    </w:p>
    <w:bookmarkEnd w:id="24"/>
    <w:bookmarkEnd w:id="25"/>
    <w:bookmarkStart w:id="26" w:name="Xdabf6ee1bfc80a88658a9722a30f2a9d2b59e44"/>
    <w:p>
      <w:pPr>
        <w:pStyle w:val="Heading2"/>
      </w:pPr>
      <w:r>
        <w:t xml:space="preserve">IV. Challenges Facing Educators in Peru Lima</w:t>
      </w:r>
    </w:p>
    <w:p>
      <w:pPr>
        <w:pStyle w:val="FirstParagraph"/>
      </w:pPr>
      <w:r>
        <w:t xml:space="preserve">Despite the evolving expectations, several structural barriers hinder the effectiveness of secondary teachers in</w:t>
      </w:r>
      <w:r>
        <w:t xml:space="preserve"> </w:t>
      </w:r>
      <w:r>
        <w:rPr>
          <w:bCs/>
          <w:b/>
        </w:rPr>
        <w:t xml:space="preserve">Peru Lima</w:t>
      </w:r>
      <w:r>
        <w:t xml:space="preserve">. First, professional development opportunities are often inconsistent. While initial training programs are rigorous, ongoing in-service training is frequently insufficient to address the immediate needs of classrooms.</w:t>
      </w:r>
    </w:p>
    <w:p>
      <w:pPr>
        <w:pStyle w:val="BodyText"/>
      </w:pPr>
      <w:r>
        <w:rPr>
          <w:bCs/>
          <w:b/>
        </w:rPr>
        <w:t xml:space="preserve">Workload and Burnout:</w:t>
      </w:r>
      <w:r>
        <w:t xml:space="preserve">The administrative burden placed on teachers is significant. In addition to teaching hours, educators must complete extensive documentation, participate in evaluations, and attend meetings. This contributes to high levels of burnout among</w:t>
      </w:r>
    </w:p>
    <w:p>
      <w:pPr>
        <w:pStyle w:val="BodyText"/>
      </w:pPr>
      <w:r>
        <w:t xml:space="preserve">Teacher SecondaryPeru Lima</w:t>
      </w:r>
    </w:p>
    <w:p>
      <w:pPr>
        <w:pStyle w:val="BodyText"/>
      </w:pPr>
      <w:r>
        <w:rPr>
          <w:bCs/>
          <w:b/>
        </w:rPr>
        <w:t xml:space="preserve">Inequitable Resource Distribution:</w:t>
      </w:r>
      <w:r>
        <w:t xml:space="preserve">The gap between private and public education remains wide. Teachers in public schools often have to compensate for lack of supplies by purchasing materials out of pocket or spending excessive time preparing low-tech alternatives. This inequity affects both the morale of the teacher and the quality of education received by students.</w:t>
      </w:r>
    </w:p>
    <w:bookmarkEnd w:id="26"/>
    <w:bookmarkStart w:id="27" w:name="v.-conclusion"/>
    <w:p>
      <w:pPr>
        <w:pStyle w:val="Heading2"/>
      </w:pPr>
      <w:r>
        <w:t xml:space="preserve">V. Conclusion</w:t>
      </w:r>
    </w:p>
    <w:p>
      <w:pPr>
        <w:pStyle w:val="FirstParagraph"/>
      </w:pPr>
      <w:r>
        <w:t xml:space="preserve">In conclusion, the role of the</w:t>
      </w:r>
      <w:r>
        <w:t xml:space="preserve"> </w:t>
      </w:r>
      <w:r>
        <w:rPr>
          <w:bCs/>
          <w:b/>
        </w:rPr>
        <w:t xml:space="preserve">Teacher SecondaryPeru Lima</w:t>
      </w:r>
    </w:p>
    <w:p>
      <w:pPr>
        <w:pStyle w:val="BodyText"/>
      </w:pPr>
      <w:r>
        <w:t xml:space="preserve">To improve secondary education in</w:t>
      </w:r>
      <w:r>
        <w:t xml:space="preserve"> </w:t>
      </w:r>
      <w:r>
        <w:rPr>
          <w:bCs/>
          <w:b/>
        </w:rPr>
        <w:t xml:space="preserve">Peru LimaPeru Lima</w:t>
      </w:r>
    </w:p>
    <w:bookmarkEnd w:id="27"/>
    <w:bookmarkStart w:id="28" w:name="vi.-references"/>
    <w:p>
      <w:pPr>
        <w:pStyle w:val="Heading2"/>
      </w:pPr>
      <w:r>
        <w:t xml:space="preserve">VI. References</w:t>
      </w:r>
    </w:p>
    <w:p>
      <w:pPr>
        <w:numPr>
          <w:ilvl w:val="0"/>
          <w:numId w:val="1001"/>
        </w:numPr>
        <w:pStyle w:val="Compact"/>
      </w:pPr>
      <w:r>
        <w:rPr>
          <w:bCs/>
          <w:b/>
        </w:rPr>
        <w:t xml:space="preserve">Instituto Peruano de Evaluación, Acreditación y Certificación de la Calidad de la Educación (COPAE). (2019). Perfil Profesional del Docente Peruano.</w:t>
      </w:r>
    </w:p>
    <w:p>
      <w:pPr>
        <w:numPr>
          <w:ilvl w:val="0"/>
          <w:numId w:val="1001"/>
        </w:numPr>
        <w:pStyle w:val="Compact"/>
      </w:pPr>
      <w:r>
        <w:rPr>
          <w:bCs/>
          <w:b/>
        </w:rPr>
        <w:t xml:space="preserve">Ministerio de Educación del Perú. (2016). Diseño Curricular Nacional.</w:t>
      </w:r>
    </w:p>
    <w:p>
      <w:pPr>
        <w:numPr>
          <w:ilvl w:val="0"/>
          <w:numId w:val="1001"/>
        </w:numPr>
        <w:pStyle w:val="Compact"/>
      </w:pPr>
      <w:r>
        <w:rPr>
          <w:bCs/>
          <w:b/>
        </w:rPr>
        <w:t xml:space="preserve">UNESCO. (2021). Reimagining Our Futures Together: A New Social Contract for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Teacher in Secondary Education within Peru Lima</dc:title>
  <dc:creator/>
  <dc:language>en</dc:language>
  <cp:keywords/>
  <dcterms:created xsi:type="dcterms:W3CDTF">2026-07-29T02:47:44Z</dcterms:created>
  <dcterms:modified xsi:type="dcterms:W3CDTF">2026-07-29T02:47:44Z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