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Education</w:t>
      </w:r>
      <w:r>
        <w:t xml:space="preserve"> </w:t>
      </w:r>
      <w:r>
        <w:t xml:space="preserve">System</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br/>
      </w:r>
      <w:r>
        <w:br/>
      </w:r>
      <w:r>
        <w:br/>
      </w:r>
      <w:r>
        <w:br/>
      </w:r>
      <w:r>
        <w:rPr>
          <w:bCs/>
          <w:b/>
        </w:rPr>
        <w:t xml:space="preserve">Title:</w:t>
      </w:r>
      <w:r>
        <w:t xml:space="preserve">The Pedagogical Transformation: Challenges and Opportunities for the Teacher Secondary Education System in Uzbekistan, Tashkent</w:t>
      </w:r>
      <w:r>
        <w:br/>
      </w:r>
      <w:r>
        <w:rPr>
          <w:bCs/>
          <w:b/>
        </w:rPr>
        <w:t xml:space="preserve">Date:</w:t>
      </w:r>
      <w:r>
        <w:t xml:space="preserve"> </w:t>
      </w:r>
      <w:r>
        <w:t xml:space="preserve">October 26, 2023</w:t>
      </w:r>
      <w:r>
        <w:br/>
      </w:r>
    </w:p>
    <w:bookmarkEnd w:id="20"/>
    <w:bookmarkStart w:id="21" w:name="i.-introduction"/>
    <w:p>
      <w:pPr>
        <w:pStyle w:val="Heading1"/>
      </w:pPr>
      <w:r>
        <w:t xml:space="preserve">I. Introduction</w:t>
      </w:r>
    </w:p>
    <w:p>
      <w:pPr>
        <w:pStyle w:val="FirstParagraph"/>
      </w:pPr>
      <w:r>
        <w:t xml:space="preserve">The educational landscape of Central Asia has undergone a seismic shift over the last decade, with Uzbekistan standing at the forefront of this transformation. At the heart of this reform lies a critical component: the development and modernization of secondary education teachers. As Uzbekistan strives to integrate into the global knowledge economy, the role of high school educators has transcended traditional instruction to become that of facilitators, mentors, and innovators. This term paper explores the current state, challenges, and future trajectory of teacher secondary education within Tashkent, the capital city and cultural hub of Uzbekistan.</w:t>
      </w:r>
    </w:p>
    <w:p>
      <w:pPr>
        <w:pStyle w:val="BodyText"/>
      </w:pPr>
      <w:r>
        <w:t xml:space="preserve">Tashkent is not merely a geographic location; it is the administrative and intellectual center where policy decisions are made. Consequently, understanding the dynamics of</w:t>
      </w:r>
      <w:r>
        <w:t xml:space="preserve"> </w:t>
      </w:r>
      <w:r>
        <w:rPr>
          <w:bCs/>
          <w:b/>
        </w:rPr>
        <w:t xml:space="preserve">Teacher Secondary</w:t>
      </w:r>
      <w:r>
        <w:t xml:space="preserve"> </w:t>
      </w:r>
      <w:r>
        <w:t xml:space="preserve">education in this specific context provides a microcosm for understanding national educational reforms. The government’s commitment to improving school quality hinges largely on the professional competence of those who stand at the podium every day. This paper argues that while significant progress has been made in aligning curriculum with international standards, structural challenges regarding pedagogical methodology and continuous professional development remain hurdles to overcome.</w:t>
      </w:r>
    </w:p>
    <w:bookmarkEnd w:id="21"/>
    <w:bookmarkStart w:id="24" w:name="Xef743b01e96ee0d4a37b228dfc2044c341dfdf7"/>
    <w:p>
      <w:pPr>
        <w:pStyle w:val="Heading1"/>
      </w:pPr>
      <w:r>
        <w:t xml:space="preserve">II. Historical Context and Recent Reforms</w:t>
      </w:r>
    </w:p>
    <w:bookmarkStart w:id="22" w:name="a.-transition-from-soviet-legacy"/>
    <w:p>
      <w:pPr>
        <w:pStyle w:val="Heading2"/>
      </w:pPr>
      <w:r>
        <w:t xml:space="preserve">A. Transition from Soviet Legacy</w:t>
      </w:r>
    </w:p>
    <w:p>
      <w:pPr>
        <w:pStyle w:val="FirstParagraph"/>
      </w:pPr>
      <w:r>
        <w:t xml:space="preserve">To understand the present state of education in Tashkent, one must acknowledge its Soviet heritage. The traditional model heavily emphasized rote memorization and strict subject mastery, often at the expense of critical thinking and student engagement. For decades, the role of the</w:t>
      </w:r>
      <w:r>
        <w:t xml:space="preserve"> </w:t>
      </w:r>
      <w:r>
        <w:rPr>
          <w:bCs/>
          <w:b/>
        </w:rPr>
        <w:t xml:space="preserve">Teacher Secondary</w:t>
      </w:r>
      <w:r>
        <w:t xml:space="preserve"> </w:t>
      </w:r>
      <w:r>
        <w:t xml:space="preserve">instructor was hierarchical and authoritative. However, since gaining independence in 1991—and accelerating dramatically in recent years—Uzbekistan has embarked on a comprehensive roadmap for educational reform.</w:t>
      </w:r>
    </w:p>
    <w:bookmarkEnd w:id="22"/>
    <w:bookmarkStart w:id="23" w:name="b.-the-tashkent-model-of-reform"/>
    <w:p>
      <w:pPr>
        <w:pStyle w:val="Heading2"/>
      </w:pPr>
      <w:r>
        <w:t xml:space="preserve">B. The Tashkent Model of Reform</w:t>
      </w:r>
    </w:p>
    <w:p>
      <w:pPr>
        <w:pStyle w:val="FirstParagraph"/>
      </w:pPr>
      <w:r>
        <w:t xml:space="preserve">Tashkent has served as the testing ground for many new initiatives. In recent years, the government has introduced new curricula that prioritize digital literacy, foreign languages, and creative problem-solving. These changes necessitate a corresponding shift in teacher training institutions across the city. Universities and pedagogical colleges in Tashkent have had to revise their programs to ensure that future educators are equipped with modern methodologies. This shift is not merely administrative but cultural, requiring a fundamental change in how</w:t>
      </w:r>
      <w:r>
        <w:t xml:space="preserve"> </w:t>
      </w:r>
      <w:r>
        <w:rPr>
          <w:bCs/>
          <w:b/>
        </w:rPr>
        <w:t xml:space="preserve">Teacher Secondary</w:t>
      </w:r>
      <w:r>
        <w:t xml:space="preserve"> </w:t>
      </w:r>
      <w:r>
        <w:t xml:space="preserve">professionals view their relationship with students.</w:t>
      </w:r>
    </w:p>
    <w:bookmarkEnd w:id="23"/>
    <w:bookmarkEnd w:id="24"/>
    <w:bookmarkStart w:id="27" w:name="Xdf19649589f690d792ba18622844f442a3091fb"/>
    <w:p>
      <w:pPr>
        <w:pStyle w:val="Heading1"/>
      </w:pPr>
      <w:r>
        <w:t xml:space="preserve">III. The Role of the Teacher Secondary in Modern Tashkent Schools</w:t>
      </w:r>
    </w:p>
    <w:p>
      <w:pPr>
        <w:pStyle w:val="FirstParagraph"/>
      </w:pPr>
      <w:r>
        <w:t xml:space="preserve">In contemporary Tashkent classrooms, the definition of a successful teacher is evolving. No longer is knowledge transmission sufficient; today’s educators must foster an environment conducive to inquiry-based learning. In cities like</w:t>
      </w:r>
      <w:r>
        <w:t xml:space="preserve"> </w:t>
      </w:r>
      <w:r>
        <w:rPr>
          <w:bCs/>
          <w:b/>
        </w:rPr>
        <w:t xml:space="preserve">Tashkent</w:t>
      </w:r>
      <w:r>
        <w:t xml:space="preserve">, where access to technology and international resources is higher than in rural areas, the expectations for</w:t>
      </w:r>
      <w:r>
        <w:t xml:space="preserve"> </w:t>
      </w:r>
      <w:r>
        <w:rPr>
          <w:bCs/>
          <w:b/>
        </w:rPr>
        <w:t xml:space="preserve">Teacher Secondary</w:t>
      </w:r>
      <w:r>
        <w:t xml:space="preserve"> </w:t>
      </w:r>
      <w:r>
        <w:t xml:space="preserve">professionals are particularly high.</w:t>
      </w:r>
    </w:p>
    <w:bookmarkStart w:id="25" w:name="a.-integration-of-technology"/>
    <w:p>
      <w:pPr>
        <w:pStyle w:val="Heading2"/>
      </w:pPr>
      <w:r>
        <w:t xml:space="preserve">A. Integration of Technology</w:t>
      </w:r>
    </w:p>
    <w:p>
      <w:pPr>
        <w:pStyle w:val="FirstParagraph"/>
      </w:pPr>
      <w:r>
        <w:t xml:space="preserve">Digital transformation is a cornerstone of the current educational strategy in Uzbekistan. Schools in Tashkent are increasingly equipped with interactive whiteboards, tablets, and high-speed internet. However, hardware alone does not guarantee improved learning outcomes. The efficacy of these tools depends entirely on the teacher’s ability to integrate them effectively into lesson plans. Consequently, ongoing professional development programs focused on digital pedagogy have become mandatory for secondary teachers in the capital.</w:t>
      </w:r>
    </w:p>
    <w:bookmarkEnd w:id="25"/>
    <w:bookmarkStart w:id="26" w:name="b.-student-centered-approaches"/>
    <w:p>
      <w:pPr>
        <w:pStyle w:val="Heading2"/>
      </w:pPr>
      <w:r>
        <w:t xml:space="preserve">B. Student-Centered Approaches</w:t>
      </w:r>
    </w:p>
    <w:p>
      <w:pPr>
        <w:pStyle w:val="FirstParagraph"/>
      </w:pPr>
      <w:r>
        <w:t xml:space="preserve">Another significant shift is the move toward student-centered learning. Traditional lectures are being supplemented or replaced by group discussions, project-based assignments, and collaborative work. This requires secondary teachers in Tashkent to possess strong interpersonal skills and classroom management strategies that empower rather than control students. The psychological aspect of teaching has gained prominence, with increased attention paid to the mental well-being and socio-emotional development of adolescents.</w:t>
      </w:r>
    </w:p>
    <w:bookmarkEnd w:id="26"/>
    <w:bookmarkEnd w:id="27"/>
    <w:bookmarkStart w:id="31" w:name="X4f3e4ca7353a1caecc8a4703bbf79e511bef404"/>
    <w:p>
      <w:pPr>
        <w:pStyle w:val="Heading1"/>
      </w:pPr>
      <w:r>
        <w:t xml:space="preserve">IV. Challenges Facing Teacher Secondary Education</w:t>
      </w:r>
    </w:p>
    <w:p>
      <w:pPr>
        <w:pStyle w:val="FirstParagraph"/>
      </w:pPr>
      <w:r>
        <w:t xml:space="preserve">Despite these advancements, the journey toward a fully modernized educational system in Uzbekistan is fraught with challenges. These obstacles are particularly acute in urban centers like Tashkent, where rapid change can outpace institutional capacity.</w:t>
      </w:r>
    </w:p>
    <w:bookmarkStart w:id="28" w:name="a.-professional-development-and-burnout"/>
    <w:p>
      <w:pPr>
        <w:pStyle w:val="Heading2"/>
      </w:pPr>
      <w:r>
        <w:t xml:space="preserve">A. Professional Development and Burnout</w:t>
      </w:r>
    </w:p>
    <w:p>
      <w:pPr>
        <w:pStyle w:val="FirstParagraph"/>
      </w:pPr>
      <w:r>
        <w:t xml:space="preserve">Many experienced teachers in Tashkent feel overwhelmed by the pace of reform. The constant introduction of new curricula, testing standards, and digital tools can lead to professional burnout. There is a pressing need for sustainable support systems that provide not just training but also emotional and logistical support to</w:t>
      </w:r>
      <w:r>
        <w:t xml:space="preserve"> </w:t>
      </w:r>
      <w:r>
        <w:rPr>
          <w:bCs/>
          <w:b/>
        </w:rPr>
        <w:t xml:space="preserve">Teacher Secondary</w:t>
      </w:r>
      <w:r>
        <w:t xml:space="preserve"> </w:t>
      </w:r>
      <w:r>
        <w:t xml:space="preserve">staff. Without adequate resources and time for adaptation, there is a risk that teachers may resist these changes or implement them superficially.</w:t>
      </w:r>
    </w:p>
    <w:bookmarkEnd w:id="28"/>
    <w:bookmarkStart w:id="29" w:name="b.-the-gap-between-training-and-practice"/>
    <w:p>
      <w:pPr>
        <w:pStyle w:val="Heading2"/>
      </w:pPr>
      <w:r>
        <w:t xml:space="preserve">B. The Gap Between Training and Practice</w:t>
      </w:r>
    </w:p>
    <w:p>
      <w:pPr>
        <w:pStyle w:val="FirstParagraph"/>
      </w:pPr>
      <w:r>
        <w:t xml:space="preserve">A significant disconnect often exists between university-level teacher training programs and the realities of the secondary school classroom in Tashkent. While pedagogical institutions teach modern theories, novice teachers often enter schools with outdated practices due to mentorship from veteran staff who may not be fully trained in new methodologies. Bridging this gap requires stronger collaboration between universities and schools, ensuring that trainees receive consistent support during their induction years.</w:t>
      </w:r>
    </w:p>
    <w:bookmarkEnd w:id="29"/>
    <w:bookmarkStart w:id="30" w:name="c.-regional-disparities"/>
    <w:p>
      <w:pPr>
        <w:pStyle w:val="Heading2"/>
      </w:pPr>
      <w:r>
        <w:t xml:space="preserve">C. Regional Disparities</w:t>
      </w:r>
    </w:p>
    <w:p>
      <w:pPr>
        <w:pStyle w:val="FirstParagraph"/>
      </w:pPr>
      <w:r>
        <w:t xml:space="preserve">While Tashkent is well-resourced compared to other regions, disparities still exist within the city itself. Schools in more affluent districts of</w:t>
      </w:r>
      <w:r>
        <w:t xml:space="preserve"> </w:t>
      </w:r>
      <w:r>
        <w:rPr>
          <w:bCs/>
          <w:b/>
        </w:rPr>
        <w:t xml:space="preserve">Tashkent</w:t>
      </w:r>
      <w:r>
        <w:t xml:space="preserve"> </w:t>
      </w:r>
      <w:r>
        <w:t xml:space="preserve">may have better access to training and technology than those in less privileged areas. Ensuring equitable quality across all secondary schools in the capital remains a critical policy challenge.</w:t>
      </w:r>
    </w:p>
    <w:bookmarkEnd w:id="30"/>
    <w:bookmarkEnd w:id="31"/>
    <w:bookmarkStart w:id="32" w:name="v.-strategic-recommendations"/>
    <w:p>
      <w:pPr>
        <w:pStyle w:val="Heading1"/>
      </w:pPr>
      <w:r>
        <w:t xml:space="preserve">V. Strategic Recommendations</w:t>
      </w:r>
    </w:p>
    <w:p>
      <w:pPr>
        <w:pStyle w:val="FirstParagraph"/>
      </w:pPr>
      <w:r>
        <w:t xml:space="preserve">To address these challenges, several strategic actions are recommended for policymakers and educational leaders in Uzbekistan.</w:t>
      </w:r>
    </w:p>
    <w:p>
      <w:pPr>
        <w:numPr>
          <w:ilvl w:val="0"/>
          <w:numId w:val="1001"/>
        </w:numPr>
        <w:pStyle w:val="Compact"/>
      </w:pPr>
      <w:r>
        <w:rPr>
          <w:bCs/>
          <w:b/>
        </w:rPr>
        <w:t xml:space="preserve">Prioritize Continuous Professional Development:</w:t>
      </w:r>
      <w:r>
        <w:t xml:space="preserve"> </w:t>
      </w:r>
      <w:r>
        <w:t xml:space="preserve">Move beyond one-time workshops to create long-term mentorship programs where experienced and new teachers can collaborate.</w:t>
      </w:r>
    </w:p>
    <w:p>
      <w:pPr>
        <w:numPr>
          <w:ilvl w:val="0"/>
          <w:numId w:val="1001"/>
        </w:numPr>
        <w:pStyle w:val="Compact"/>
      </w:pPr>
      <w:r>
        <w:rPr>
          <w:bCs/>
          <w:b/>
        </w:rPr>
        <w:t xml:space="preserve">Incentivize Innovation:</w:t>
      </w:r>
      <w:r>
        <w:t xml:space="preserve"> </w:t>
      </w:r>
      <w:r>
        <w:t xml:space="preserve">Create reward systems for</w:t>
      </w:r>
      <w:r>
        <w:t xml:space="preserve"> </w:t>
      </w:r>
      <w:r>
        <w:rPr>
          <w:bCs/>
          <w:b/>
        </w:rPr>
        <w:t xml:space="preserve">Teacher Secondary</w:t>
      </w:r>
      <w:r>
        <w:t xml:space="preserve"> </w:t>
      </w:r>
      <w:r>
        <w:t xml:space="preserve">professionals who demonstrate excellence in integrating new technologies and pedagogical methods.</w:t>
      </w:r>
    </w:p>
    <w:p>
      <w:pPr>
        <w:numPr>
          <w:ilvl w:val="0"/>
          <w:numId w:val="1001"/>
        </w:numPr>
        <w:pStyle w:val="Compact"/>
      </w:pPr>
      <w:r>
        <w:rPr>
          <w:bCs/>
          <w:b/>
        </w:rPr>
        <w:t xml:space="preserve">Foster International Partnerships:</w:t>
      </w:r>
      <w:r>
        <w:t xml:space="preserve">Tashkent should leverage its status as a capital city to establish exchange programs with global educational centers, allowing local teachers to gain international perspectives.</w:t>
      </w:r>
    </w:p>
    <w:p>
      <w:pPr>
        <w:numPr>
          <w:ilvl w:val="0"/>
          <w:numId w:val="1001"/>
        </w:numPr>
        <w:pStyle w:val="Compact"/>
      </w:pPr>
      <w:r>
        <w:rPr>
          <w:bCs/>
          <w:b/>
        </w:rPr>
        <w:t xml:space="preserve">Strengthen University-School Links:</w:t>
      </w:r>
      <w:r>
        <w:t xml:space="preserve">Pedagogical universities in Tashkent should work closely with secondary schools to ensure their curriculum reflects current classroom realities.</w:t>
      </w:r>
    </w:p>
    <w:bookmarkEnd w:id="32"/>
    <w:bookmarkStart w:id="34" w:name="vi.-conclusion"/>
    <w:p>
      <w:pPr>
        <w:pStyle w:val="Heading1"/>
      </w:pPr>
      <w:r>
        <w:t xml:space="preserve">VI. Conclusion</w:t>
      </w:r>
    </w:p>
    <w:p>
      <w:pPr>
        <w:pStyle w:val="FirstParagraph"/>
      </w:pPr>
      <w:r>
        <w:t xml:space="preserve">The modernization of the education system in Uzbekistan is a complex, multifaceted endeavor that holds the key to the nation’s future prosperity. At the center of this transformation is the role of secondary school teachers in Tashkent. They are not just transmitters of knowledge but architects of a new societal mindset characterized by critical thinking, adaptability, and global competence.</w:t>
      </w:r>
    </w:p>
    <w:p>
      <w:pPr>
        <w:pStyle w:val="BodyText"/>
      </w:pPr>
      <w:r>
        <w:t xml:space="preserve">While challenges such as burnout, resource disparities, and implementation gaps persist, the commitment to reform is evident in the policies enacted in recent years. By investing heavily in human capital—specifically by supporting the professional growth of</w:t>
      </w:r>
      <w:r>
        <w:t xml:space="preserve"> </w:t>
      </w:r>
      <w:r>
        <w:rPr>
          <w:bCs/>
          <w:b/>
        </w:rPr>
        <w:t xml:space="preserve">Teacher Secondary</w:t>
      </w:r>
      <w:r>
        <w:t xml:space="preserve"> </w:t>
      </w:r>
      <w:r>
        <w:t xml:space="preserve">educators—Uzbekistan can ensure that its education system meets international standards. Tashkent serves as a beacon for these efforts, demonstrating that with dedicated leadership and sustained investment, the educational landscape of Uzbekistan can be transformed to serve both its citizens and the global community.</w:t>
      </w:r>
    </w:p>
    <w:p>
      <w:pPr>
        <w:pStyle w:val="BodyText"/>
      </w:pPr>
      <w:r>
        <w:br/>
      </w:r>
      <w:r>
        <w:br/>
      </w:r>
    </w:p>
    <w:bookmarkStart w:id="33" w:name="vii.-references"/>
    <w:p>
      <w:pPr>
        <w:pStyle w:val="Heading3"/>
      </w:pPr>
      <w:r>
        <w:t xml:space="preserve">VII. References</w:t>
      </w:r>
    </w:p>
    <w:p>
      <w:pPr>
        <w:pStyle w:val="FirstParagraph"/>
      </w:pPr>
      <w:r>
        <w:t xml:space="preserve">1. Ministry of Public Education of Uzbekistan. (2022). *National Strategy for the Development of the New Type of Uzbekistan*. Tashkent.</w:t>
      </w:r>
      <w:r>
        <w:br/>
      </w:r>
      <w:r>
        <w:t xml:space="preserve">2. World Bank Group. (2019). *Uzbekistan: Transforming Secondary Education for Economic Growth*. Washington, DC.</w:t>
      </w:r>
      <w:r>
        <w:br/>
      </w:r>
      <w:r>
        <w:t xml:space="preserve">3. Asian Development Bank. (2021). *Education Sector Assessment in the Republic of Uzbekistan*.</w:t>
      </w:r>
      <w:r>
        <w:br/>
      </w:r>
      <w:r>
        <w:t xml:space="preserve">4. Local Tashkent Municipal Reports on Educational Infrastructure and Teacher Training Initiatives (2018-2023).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Modernization of the Teacher Secondary Education System in Uzbekistan, Tashkent</dc:title>
  <dc:creator/>
  <dc:language>en</dc:language>
  <cp:keywords/>
  <dcterms:created xsi:type="dcterms:W3CDTF">2026-07-29T16:17:14Z</dcterms:created>
  <dcterms:modified xsi:type="dcterms:W3CDTF">2026-07-29T16:17:14Z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