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31" w:name="X24e9bec1bf13e6a36d1215ab7fd277bf1af5371"/>
    <w:p>
      <w:pPr>
        <w:pStyle w:val="Heading1"/>
      </w:pPr>
      <w:r>
        <w:t xml:space="preserve">The Linguistic Bridge in the Pacific Northwest:</w:t>
      </w:r>
      <w:r>
        <w:br/>
      </w:r>
      <w:r>
        <w:t xml:space="preserve">An Analysis of Translator and Interpreter Services in Canada Vancouver</w:t>
      </w:r>
    </w:p>
    <w:p>
      <w:pPr>
        <w:pStyle w:val="FirstParagraph"/>
      </w:pPr>
      <w:r>
        <w:rPr>
          <w:bCs/>
          <w:b/>
        </w:rPr>
        <w:t xml:space="preserve">Date:</w:t>
      </w:r>
      <w:r>
        <w:t xml:space="preserve"> </w:t>
      </w:r>
      <w:r>
        <w:t xml:space="preserve">October 26, 2023</w:t>
      </w:r>
      <w:r>
        <w:br/>
      </w:r>
      <w:r>
        <w:rPr>
          <w:bCs/>
          <w:b/>
        </w:rPr>
        <w:t xml:space="preserve">Coursename:</w:t>
      </w:r>
      <w:r>
        <w:t xml:space="preserve"> </w:t>
      </w:r>
      <w:r>
        <w:t xml:space="preserve">Advanced Linguistics and Professional Communication</w:t>
      </w:r>
      <w:r>
        <w:br/>
      </w:r>
      <w:r>
        <w:rPr>
          <w:bCs/>
          <w:b/>
        </w:rPr>
        <w:t xml:space="preserve">Status:</w:t>
      </w:r>
      <w:r>
        <w:t xml:space="preserve"> </w:t>
      </w:r>
      <w:r>
        <w:t xml:space="preserve">Term Paper</w:t>
      </w:r>
    </w:p>
    <w:bookmarkStart w:id="20" w:name="i.-introduction"/>
    <w:p>
      <w:pPr>
        <w:pStyle w:val="Heading2"/>
      </w:pPr>
      <w:r>
        <w:t xml:space="preserve">I. Introduction</w:t>
      </w:r>
    </w:p>
    <w:p>
      <w:pPr>
        <w:pStyle w:val="FirstParagraph"/>
      </w:pPr>
      <w:r>
        <w:t xml:space="preserve">In an era characterized by unprecedented global mobility and cultural exchange, the ability to communicate across linguistic barriers is not merely a convenience but a fundamental human right and a critical component of social integration. Nowhere is this more evident than in</w:t>
      </w:r>
      <w:r>
        <w:t xml:space="preserve"> </w:t>
      </w:r>
      <w:r>
        <w:rPr>
          <w:bCs/>
          <w:b/>
        </w:rPr>
        <w:t xml:space="preserve">Canada Vancouver</w:t>
      </w:r>
      <w:r>
        <w:t xml:space="preserve">, a city that stands as one of the most multicultural hubs on the West Coast. As a gateway for immigrants, refugees, and international students arriving from diverse linguistic backgrounds,</w:t>
      </w:r>
      <w:r>
        <w:t xml:space="preserve"> </w:t>
      </w:r>
      <w:r>
        <w:rPr>
          <w:bCs/>
          <w:b/>
        </w:rPr>
        <w:t xml:space="preserve">Canada Vancouver</w:t>
      </w:r>
      <w:r>
        <w:br/>
      </w:r>
      <w:r>
        <w:t xml:space="preserve">serves as a testing ground for the efficacy of language service professions. This term paper aims to explore the distinct roles, professional standards, and societal impacts of being a</w:t>
      </w:r>
      <w:r>
        <w:t xml:space="preserve"> </w:t>
      </w:r>
      <w:r>
        <w:rPr>
          <w:bCs/>
          <w:b/>
        </w:rPr>
        <w:t xml:space="preserve">Translator Interpreter</w:t>
      </w:r>
      <w:r>
        <w:t xml:space="preserve">. Specifically, it examines how these professionals facilitate access to essential services in healthcare, legal systems,</w:t>
      </w:r>
      <w:r>
        <w:br/>
      </w:r>
      <w:r>
        <w:t xml:space="preserve">and education within the unique demographic landscape of</w:t>
      </w:r>
      <w:r>
        <w:t xml:space="preserve"> </w:t>
      </w:r>
      <w:r>
        <w:rPr>
          <w:bCs/>
          <w:b/>
        </w:rPr>
        <w:t xml:space="preserve">Canada Vancouver</w:t>
      </w:r>
      <w:r>
        <w:t xml:space="preserve">.</w:t>
      </w:r>
    </w:p>
    <w:bookmarkEnd w:id="20"/>
    <w:bookmarkStart w:id="21" w:name="X1496a142c08eddb67dc0fc25fd2f3ce141bedf1"/>
    <w:p>
      <w:pPr>
        <w:pStyle w:val="Heading2"/>
      </w:pPr>
      <w:r>
        <w:t xml:space="preserve">II. Distinguishing the Disciplines: Translation vs. Interpretation</w:t>
      </w:r>
    </w:p>
    <w:p>
      <w:pPr>
        <w:pStyle w:val="FirstParagraph"/>
      </w:pPr>
      <w:r>
        <w:t xml:space="preserve">To understand the professional scope of a</w:t>
      </w:r>
      <w:r>
        <w:t xml:space="preserve"> </w:t>
      </w:r>
      <w:r>
        <w:rPr>
          <w:bCs/>
          <w:b/>
        </w:rPr>
        <w:t xml:space="preserve">Translator Interpreter</w:t>
      </w:r>
      <w:r>
        <w:t xml:space="preserve">, one must first distinguish between two often conflated disciplines: translation and interpretation. While both involve converting meaning from a source language to a target language, they differ significantly in medium and execution.</w:t>
      </w:r>
    </w:p>
    <w:p>
      <w:pPr>
        <w:pStyle w:val="BodyText"/>
      </w:pPr>
      <w:r>
        <w:rPr>
          <w:bCs/>
          <w:b/>
        </w:rPr>
        <w:t xml:space="preserve">Translation</w:t>
      </w:r>
      <w:r>
        <w:t xml:space="preserve"> </w:t>
      </w:r>
      <w:r>
        <w:t xml:space="preserve">is primarily concerned with written text. It involves the precise conversion of documents, literary works, legal contracts, or technical manuals from one language to another. The translator has the luxury of time to consult dictionaries, reference materials,</w:t>
      </w:r>
      <w:r>
        <w:br/>
      </w:r>
      <w:r>
        <w:t xml:space="preserve">and collaborate with editors to ensure accuracy and stylistic fidelity. In</w:t>
      </w:r>
      <w:r>
        <w:t xml:space="preserve"> </w:t>
      </w:r>
      <w:r>
        <w:rPr>
          <w:bCs/>
          <w:b/>
        </w:rPr>
        <w:t xml:space="preserve">Canada Vancouver</w:t>
      </w:r>
      <w:r>
        <w:t xml:space="preserve">, where housing contracts,</w:t>
      </w:r>
      <w:r>
        <w:br/>
      </w:r>
      <w:r>
        <w:t xml:space="preserve">immigration applications,</w:t>
      </w:r>
      <w:r>
        <w:br/>
      </w:r>
      <w:r>
        <w:t xml:space="preserve">and academic texts are frequently translated, the role of the translator is critical for maintaining legal integrity and administrative compliance.</w:t>
      </w:r>
    </w:p>
    <w:p>
      <w:pPr>
        <w:pStyle w:val="BodyText"/>
      </w:pPr>
      <w:r>
        <w:rPr>
          <w:bCs/>
          <w:b/>
        </w:rPr>
        <w:t xml:space="preserve">Interpretation</w:t>
      </w:r>
      <w:r>
        <w:t xml:space="preserve">, conversely, deals with spoken language or sign language in real-time. Interpretation occurs in dynamic environments such as courtrooms,</w:t>
      </w:r>
      <w:r>
        <w:br/>
      </w:r>
      <w:r>
        <w:t xml:space="preserve">medical clinics,</w:t>
      </w:r>
      <w:r>
        <w:br/>
      </w:r>
      <w:r>
        <w:t xml:space="preserve">and community meetings. The interpreter must process auditory or visual information and produce an equivalent message instantly. This requires exceptional cognitive processing skills, cultural competence, and emotional resilience. For a</w:t>
      </w:r>
      <w:r>
        <w:t xml:space="preserve"> </w:t>
      </w:r>
      <w:r>
        <w:rPr>
          <w:bCs/>
          <w:b/>
        </w:rPr>
        <w:t xml:space="preserve">Translator Interpreter</w:t>
      </w:r>
      <w:r>
        <w:br/>
      </w:r>
      <w:r>
        <w:t xml:space="preserve">wishing to practice professionally in</w:t>
      </w:r>
      <w:r>
        <w:t xml:space="preserve"> </w:t>
      </w:r>
      <w:r>
        <w:rPr>
          <w:bCs/>
          <w:b/>
        </w:rPr>
        <w:t xml:space="preserve">Canada Vancouver</w:t>
      </w:r>
      <w:r>
        <w:t xml:space="preserve">, mastering both disciplines—or specializing deeply in one—requires rigorous certification from bodies such as the Association of Land Titles</w:t>
      </w:r>
      <w:r>
        <w:br/>
      </w:r>
      <w:r>
        <w:t xml:space="preserve">Auditors and Notaries or provincial regulatory colleges.</w:t>
      </w:r>
    </w:p>
    <w:bookmarkEnd w:id="21"/>
    <w:bookmarkStart w:id="22" w:name="X49e48e529dd073eeb370b91a04d2057108c9649"/>
    <w:p>
      <w:pPr>
        <w:pStyle w:val="Heading2"/>
      </w:pPr>
      <w:r>
        <w:t xml:space="preserve">III. The Unique Context of Canada Vancouver</w:t>
      </w:r>
    </w:p>
    <w:p>
      <w:pPr>
        <w:pStyle w:val="FirstParagraph"/>
      </w:pPr>
      <w:r>
        <w:t xml:space="preserve">The specific geography and demographics of</w:t>
      </w:r>
      <w:r>
        <w:t xml:space="preserve"> </w:t>
      </w:r>
      <w:r>
        <w:rPr>
          <w:bCs/>
          <w:b/>
        </w:rPr>
        <w:t xml:space="preserve">Canada Vancouver</w:t>
      </w:r>
      <w:r>
        <w:br/>
      </w:r>
      <w:r>
        <w:t xml:space="preserve">Create a distinct demand for language services. Situated on the Pacific Rim,</w:t>
      </w:r>
      <w:r>
        <w:br/>
      </w:r>
      <w:r>
        <w:rPr>
          <w:bCs/>
          <w:b/>
        </w:rPr>
        <w:t xml:space="preserve">Canada Vancouver</w:t>
      </w:r>
      <w:r>
        <w:br/>
      </w:r>
      <w:r>
        <w:t xml:space="preserve">serves as a primary entry point for migration from Asia,</w:t>
      </w:r>
      <w:r>
        <w:br/>
      </w:r>
      <w:r>
        <w:t xml:space="preserve">Africa,</w:t>
      </w:r>
      <w:r>
        <w:br/>
      </w:r>
      <w:r>
        <w:t xml:space="preserve">The Middle East,</w:t>
      </w:r>
      <w:r>
        <w:br/>
      </w:r>
      <w:r>
        <w:t xml:space="preserve">and beyond. The city is home to significant linguistic diversity, with Mandarin Cantonese Punjabi Hindi and Tagalog being among the most prevalent non-official languages spoken in households.</w:t>
      </w:r>
    </w:p>
    <w:p>
      <w:pPr>
        <w:pStyle w:val="BodyText"/>
      </w:pPr>
      <w:r>
        <w:t xml:space="preserve">This demographic reality means that public institutions in</w:t>
      </w:r>
      <w:r>
        <w:t xml:space="preserve"> </w:t>
      </w:r>
      <w:r>
        <w:rPr>
          <w:bCs/>
          <w:b/>
        </w:rPr>
        <w:t xml:space="preserve">Canada Vancouver</w:t>
      </w:r>
      <w:r>
        <w:br/>
      </w:r>
      <w:r>
        <w:t xml:space="preserve">frequently encounter individuals who do not speak English or French fluently. The Canadian Charter of Rights and Freedoms guarantees equal protection under the law, but this guarantee is meaningless without linguistic access. Therefore, the presence of a qualified</w:t>
      </w:r>
      <w:r>
        <w:t xml:space="preserve"> </w:t>
      </w:r>
      <w:r>
        <w:rPr>
          <w:bCs/>
          <w:b/>
        </w:rPr>
        <w:t xml:space="preserve">Translator Interpreter</w:t>
      </w:r>
      <w:r>
        <w:br/>
      </w:r>
      <w:r>
        <w:t xml:space="preserve">in</w:t>
      </w:r>
      <w:r>
        <w:t xml:space="preserve"> </w:t>
      </w:r>
      <w:r>
        <w:rPr>
          <w:bCs/>
          <w:b/>
        </w:rPr>
        <w:t xml:space="preserve">Canada Vancouver</w:t>
      </w:r>
      <w:r>
        <w:br/>
      </w:r>
      <w:r>
        <w:t xml:space="preserve">is not just an economic service; it is a mechanism for social justice.</w:t>
      </w:r>
    </w:p>
    <w:bookmarkEnd w:id="22"/>
    <w:bookmarkStart w:id="26" w:name="X1edc99b89f75b3954fdbaef40bb84ff9078a3ff"/>
    <w:p>
      <w:pPr>
        <w:pStyle w:val="Heading2"/>
      </w:pPr>
      <w:r>
        <w:t xml:space="preserve">IV. Critical Sectors Requiring Professional Interpretation</w:t>
      </w:r>
    </w:p>
    <w:bookmarkStart w:id="23" w:name="a.-healthcare-access-and-patient-safety"/>
    <w:p>
      <w:pPr>
        <w:pStyle w:val="Heading3"/>
      </w:pPr>
      <w:r>
        <w:t xml:space="preserve">A. Healthcare Access and Patient Safety</w:t>
      </w:r>
    </w:p>
    <w:p>
      <w:pPr>
        <w:pStyle w:val="FirstParagraph"/>
      </w:pPr>
      <w:r>
        <w:t xml:space="preserve">In the healthcare sector, the stakes are exceptionally high. Miscommunication can lead to misdiagnosis,</w:t>
      </w:r>
      <w:r>
        <w:br/>
      </w:r>
      <w:r>
        <w:t xml:space="preserve">Poor treatment outcomes,</w:t>
      </w:r>
      <w:r>
        <w:br/>
      </w:r>
      <w:r>
        <w:t xml:space="preserve">or even fatalities. In</w:t>
      </w:r>
      <w:r>
        <w:t xml:space="preserve"> </w:t>
      </w:r>
      <w:r>
        <w:rPr>
          <w:bCs/>
          <w:b/>
        </w:rPr>
        <w:t xml:space="preserve">Canada Vancouver</w:t>
      </w:r>
      <w:r>
        <w:br/>
      </w:r>
      <w:r>
        <w:t xml:space="preserve">s hospitals and clinics, medical interpreters play a vital role in obtaining informed consent and explaining complex medical procedures to patients whose primary language may not be English. Professional</w:t>
      </w:r>
      <w:r>
        <w:t xml:space="preserve"> </w:t>
      </w:r>
      <w:r>
        <w:rPr>
          <w:bCs/>
          <w:b/>
        </w:rPr>
        <w:t xml:space="preserve">Translator Interpreter</w:t>
      </w:r>
      <w:r>
        <w:br/>
      </w:r>
      <w:r>
        <w:t xml:space="preserve">services ensure that cultural nuances are respected and that health literacy is maintained across all linguistic groups.</w:t>
      </w:r>
    </w:p>
    <w:bookmarkEnd w:id="23"/>
    <w:bookmarkStart w:id="24" w:name="b.-legal-proceedings-and-justice"/>
    <w:p>
      <w:pPr>
        <w:pStyle w:val="Heading3"/>
      </w:pPr>
      <w:r>
        <w:t xml:space="preserve">B. Legal Proceedings and Justice</w:t>
      </w:r>
    </w:p>
    <w:p>
      <w:pPr>
        <w:pStyle w:val="FirstParagraph"/>
      </w:pPr>
      <w:r>
        <w:t xml:space="preserve">The justice system relies heavily on the accuracy of interpretation. In courtrooms across</w:t>
      </w:r>
      <w:r>
        <w:t xml:space="preserve"> </w:t>
      </w:r>
      <w:r>
        <w:rPr>
          <w:bCs/>
          <w:b/>
        </w:rPr>
        <w:t xml:space="preserve">Canada Vancouver</w:t>
      </w:r>
      <w:r>
        <w:t xml:space="preserve">, defendants, witnesses, and victims must understand the proceedings to exercise their right to a fair trial. Simultaneously,</w:t>
      </w:r>
      <w:r>
        <w:br/>
      </w:r>
      <w:r>
        <w:t xml:space="preserve">Judges and juries must comprehend their testimony without distortion. A</w:t>
      </w:r>
      <w:r>
        <w:t xml:space="preserve"> </w:t>
      </w:r>
      <w:r>
        <w:rPr>
          <w:bCs/>
          <w:b/>
        </w:rPr>
        <w:t xml:space="preserve">Translator Interpreter</w:t>
      </w:r>
      <w:r>
        <w:br/>
      </w:r>
      <w:r>
        <w:t xml:space="preserve">in this context acts as a neutral conduit, ensuring that the integrity of the legal process is upheld regardless of the language spoken.</w:t>
      </w:r>
    </w:p>
    <w:bookmarkEnd w:id="24"/>
    <w:bookmarkStart w:id="25" w:name="c.-education-and-social-integration"/>
    <w:p>
      <w:pPr>
        <w:pStyle w:val="Heading3"/>
      </w:pPr>
      <w:r>
        <w:t xml:space="preserve">C. Education and Social Integration</w:t>
      </w:r>
    </w:p>
    <w:p>
      <w:pPr>
        <w:pStyle w:val="FirstParagraph"/>
      </w:pPr>
      <w:r>
        <w:t xml:space="preserve">Schools in</w:t>
      </w:r>
      <w:r>
        <w:t xml:space="preserve"> </w:t>
      </w:r>
      <w:r>
        <w:rPr>
          <w:bCs/>
          <w:b/>
        </w:rPr>
        <w:t xml:space="preserve">Canada Vancouver</w:t>
      </w:r>
      <w:r>
        <w:br/>
      </w:r>
      <w:r>
        <w:t xml:space="preserve">frequently utilize interpreters to facilitate communication between parents and educators. This is crucial for parent-teacher interviews, IEP meetings,</w:t>
      </w:r>
      <w:r>
        <w:br/>
      </w:r>
      <w:r>
        <w:t xml:space="preserve">and disciplinary hearings. By bridging this gap,</w:t>
      </w:r>
      <w:r>
        <w:br/>
      </w:r>
      <w:r>
        <w:rPr>
          <w:bCs/>
          <w:b/>
        </w:rPr>
        <w:t xml:space="preserve">Translator Interpreter</w:t>
      </w:r>
      <w:r>
        <w:br/>
      </w:r>
      <w:r>
        <w:t xml:space="preserve">s help immigrant families navigate the Canadian education system,fostering greater engagement and supporting student success.</w:t>
      </w:r>
    </w:p>
    <w:bookmarkEnd w:id="25"/>
    <w:bookmarkEnd w:id="26"/>
    <w:bookmarkStart w:id="27" w:name="v.-ethical-standards-and-certification"/>
    <w:p>
      <w:pPr>
        <w:pStyle w:val="Heading2"/>
      </w:pPr>
      <w:r>
        <w:t xml:space="preserve">V. Ethical Standards and Certification</w:t>
      </w:r>
    </w:p>
    <w:p>
      <w:pPr>
        <w:pStyle w:val="FirstParagraph"/>
      </w:pPr>
      <w:r>
        <w:t xml:space="preserve">The profession of</w:t>
      </w:r>
      <w:r>
        <w:t xml:space="preserve"> </w:t>
      </w:r>
      <w:r>
        <w:rPr>
          <w:bCs/>
          <w:b/>
        </w:rPr>
        <w:t xml:space="preserve">Translator Interpreter</w:t>
      </w:r>
      <w:r>
        <w:br/>
      </w:r>
      <w:r>
        <w:t xml:space="preserve">is bound by strict ethical codes. Confidentiality, impartiality,</w:t>
      </w:r>
      <w:r>
        <w:br/>
      </w:r>
      <w:r>
        <w:t xml:space="preserve">accuracy,</w:t>
      </w:r>
      <w:r>
        <w:br/>
      </w:r>
      <w:r>
        <w:t xml:space="preserve">Precision,</w:t>
      </w:r>
      <w:r>
        <w:br/>
      </w:r>
      <w:r>
        <w:t xml:space="preserve">Cultural sensitivity,</w:t>
      </w:r>
      <w:r>
        <w:br/>
      </w:r>
      <w:r>
        <w:t xml:space="preserve">A nd respect for professional boundaries are paramount. In</w:t>
      </w:r>
      <w:r>
        <w:t xml:space="preserve"> </w:t>
      </w:r>
      <w:r>
        <w:rPr>
          <w:bCs/>
          <w:b/>
        </w:rPr>
        <w:t xml:space="preserve">Canada Vancouver</w:t>
      </w:r>
      <w:r>
        <w:t xml:space="preserve">, where trust in institutions is fragile among new immigrants, adhering to these standards is essential.</w:t>
      </w:r>
    </w:p>
    <w:p>
      <w:pPr>
        <w:pStyle w:val="BodyText"/>
      </w:pPr>
      <w:r>
        <w:t xml:space="preserve">Certification bodies such as the</w:t>
      </w:r>
      <w:r>
        <w:t xml:space="preserve"> </w:t>
      </w:r>
      <w:r>
        <w:rPr>
          <w:iCs/>
          <w:i/>
        </w:rPr>
        <w:t xml:space="preserve">Institute of Translation and Interpreting (ITI)</w:t>
      </w:r>
      <w:r>
        <w:br/>
      </w:r>
      <w:r>
        <w:t xml:space="preserve">and the</w:t>
      </w:r>
      <w:r>
        <w:t xml:space="preserve"> </w:t>
      </w:r>
      <w:r>
        <w:rPr>
          <w:iCs/>
          <w:i/>
        </w:rPr>
        <w:t xml:space="preserve">Ceremonial Court Interpreters Registry</w:t>
      </w:r>
      <w:r>
        <w:br/>
      </w:r>
      <w:r>
        <w:t xml:space="preserve">(for certain provincial courts) provide rigorous testing and continuing education requirements. These certifications validate that a professional has met the high standards expected in</w:t>
      </w:r>
      <w:r>
        <w:t xml:space="preserve"> </w:t>
      </w:r>
      <w:r>
        <w:rPr>
          <w:bCs/>
          <w:b/>
        </w:rPr>
        <w:t xml:space="preserve">Canada Vancouver</w:t>
      </w:r>
      <w:r>
        <w:t xml:space="preserve">. Unqualified individuals may offer interpretation services, but their lack of formal training can lead to catastrophic errors, particularly in legal or medical contexts.</w:t>
      </w:r>
    </w:p>
    <w:bookmarkEnd w:id="27"/>
    <w:bookmarkStart w:id="28" w:name="vi.-challenges-and-future-outlook"/>
    <w:p>
      <w:pPr>
        <w:pStyle w:val="Heading2"/>
      </w:pPr>
      <w:r>
        <w:t xml:space="preserve">VI. Challenges and Future Outlook</w:t>
      </w:r>
    </w:p>
    <w:p>
      <w:pPr>
        <w:pStyle w:val="FirstParagraph"/>
      </w:pPr>
      <w:r>
        <w:t xml:space="preserve">Despite the clear need,</w:t>
      </w:r>
      <w:r>
        <w:br/>
      </w:r>
    </w:p>
    <w:p>
      <w:pPr>
        <w:pStyle w:val="BodyText"/>
      </w:pPr>
      <w:r>
        <w:t xml:space="preserve">s in</w:t>
      </w:r>
    </w:p>
    <w:p>
      <w:pPr>
        <w:pStyle w:val="BodyText"/>
      </w:pPr>
      <w:r>
        <w:br/>
      </w:r>
      <w:r>
        <w:t xml:space="preserve">faced several challenges. These include low compensation rates for certain public sector contracts,</w:t>
      </w:r>
      <w:r>
        <w:br/>
      </w:r>
      <w:r>
        <w:t xml:space="preserve">The high demand for rare language combinations,</w:t>
      </w:r>
      <w:r>
        <w:br/>
      </w:r>
      <w:r>
        <w:t xml:space="preserve">A nd the emotional toll of interpreting traumatic events.</w:t>
      </w:r>
    </w:p>
    <w:p>
      <w:pPr>
        <w:pStyle w:val="BodyText"/>
      </w:pPr>
      <w:r>
        <w:t xml:space="preserve">Furthermore, technology poses both a threat and an opportunity. Machine translation and remote interpretation platforms are growing, but they cannot replicate the cultural nuance and empathy provided by human professionals. The future of the field in</w:t>
      </w:r>
      <w:r>
        <w:t xml:space="preserve"> </w:t>
      </w:r>
      <w:r>
        <w:rPr>
          <w:bCs/>
          <w:b/>
        </w:rPr>
        <w:t xml:space="preserve">Canada Vancouver</w:t>
      </w:r>
      <w:r>
        <w:br/>
      </w:r>
      <w:r>
        <w:t xml:space="preserve">Lies in integrating technology as a tool while emphasizing the irreplaceable value of certified human experts.</w:t>
      </w:r>
    </w:p>
    <w:bookmarkEnd w:id="28"/>
    <w:bookmarkStart w:id="29" w:name="vii.-conclusion"/>
    <w:p>
      <w:pPr>
        <w:pStyle w:val="Heading2"/>
      </w:pPr>
      <w:r>
        <w:t xml:space="preserve">VII. Conclusion</w:t>
      </w:r>
    </w:p>
    <w:p>
      <w:pPr>
        <w:pStyle w:val="FirstParagraph"/>
      </w:pPr>
      <w:r>
        <w:t xml:space="preserve">In conclusion, the role of a</w:t>
      </w:r>
    </w:p>
    <w:p>
      <w:pPr>
        <w:pStyle w:val="BodyText"/>
      </w:pPr>
      <w:r>
        <w:br/>
      </w:r>
      <w:r>
        <w:t xml:space="preserve">in</w:t>
      </w:r>
    </w:p>
    <w:p>
      <w:pPr>
        <w:pStyle w:val="BodyText"/>
      </w:pPr>
      <w:r>
        <w:t xml:space="preserve">A nd ensure equitable access to essential services.</w:t>
      </w:r>
    </w:p>
    <w:p>
      <w:pPr>
        <w:pStyle w:val="BodyText"/>
      </w:pPr>
      <w:r>
        <w:t xml:space="preserve">As</w:t>
      </w:r>
    </w:p>
    <w:p>
      <w:pPr>
        <w:pStyle w:val="BodyText"/>
      </w:pPr>
      <w:r>
        <w:t xml:space="preserve">The demand for high-quality translation and interpretation will only increase. It is imperative that policymakers,</w:t>
      </w:r>
      <w:r>
        <w:br/>
      </w:r>
      <w:r>
        <w:t xml:space="preserve">institutional leaders,</w:t>
      </w:r>
      <w:r>
        <w:br/>
      </w:r>
      <w:r>
        <w:t xml:space="preserve">A nd the public recognize the professional status of these practitioners. Investing in certified</w:t>
      </w:r>
    </w:p>
    <w:p>
      <w:pPr>
        <w:pStyle w:val="BodyText"/>
      </w:pPr>
      <w:r>
        <w:t xml:space="preserve">&lt; br services is an investment in a more inclusive, equitable, and communicative society within</w:t>
      </w:r>
    </w:p>
    <w:p>
      <w:pPr>
        <w:pStyle w:val="BodyText"/>
      </w:pPr>
      <w:r>
        <w:t xml:space="preserve">.</w:t>
      </w:r>
    </w:p>
    <w:bookmarkEnd w:id="29"/>
    <w:bookmarkStart w:id="30" w:name="viii.-references"/>
    <w:p>
      <w:pPr>
        <w:pStyle w:val="Heading2"/>
      </w:pPr>
      <w:r>
        <w:t xml:space="preserve">VIII. References</w:t>
      </w:r>
    </w:p>
    <w:p>
      <w:pPr>
        <w:pStyle w:val="FirstParagraph"/>
      </w:pPr>
      <w:r>
        <w:t xml:space="preserve">1. Canadian Association of Translators,</w:t>
      </w:r>
      <w:r>
        <w:br/>
      </w:r>
      <w:r>
        <w:t xml:space="preserve">A nd Interpreters (CATI). (2023).</w:t>
      </w:r>
    </w:p>
    <w:p>
      <w:pPr>
        <w:pStyle w:val="BodyText"/>
      </w:pPr>
      <w:r>
        <w:t xml:space="preserve">2. Government of British Columbia. (2022).</w:t>
      </w:r>
    </w:p>
    <w:p>
      <w:pPr>
        <w:pStyle w:val="BodyText"/>
      </w:pPr>
      <w:r>
        <w:t xml:space="preserve">3. Institute of Translation and Interpreting.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and Interpreter Services in Canada Vancouver</dc:title>
  <dc:creator/>
  <dc:language>en</dc:language>
  <cp:keywords/>
  <dcterms:created xsi:type="dcterms:W3CDTF">2026-07-29T09:30:10Z</dcterms:created>
  <dcterms:modified xsi:type="dcterms:W3CDTF">2026-07-29T09:30:10Z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