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e6d3efffb1089183e7e43fcdb5081bafe258e7a"/>
    <w:p>
      <w:pPr>
        <w:pStyle w:val="Heading1"/>
      </w:pPr>
      <w:r>
        <w:t xml:space="preserve">The Crucial Role of the Translator and Interpreter in New Zealand Auckland: Bridging Linguistic Divides in a Global Hub</w:t>
      </w:r>
    </w:p>
    <w:p>
      <w:pPr>
        <w:pStyle w:val="FirstParagraph"/>
      </w:pPr>
      <w:r>
        <w:rPr>
          <w:bCs/>
          <w:b/>
        </w:rPr>
        <w:t xml:space="preserve">Date:</w:t>
      </w:r>
      <w:r>
        <w:t xml:space="preserve"> </w:t>
      </w:r>
      <w:r>
        <w:t xml:space="preserve">October 26, 2023</w:t>
      </w:r>
      <w:r>
        <w:br/>
      </w:r>
      <w:r>
        <w:rPr>
          <w:bCs/>
          <w:b/>
        </w:rPr>
        <w:t xml:space="preserve">Title:</w:t>
      </w:r>
      <w:r>
        <w:rPr>
          <w:iCs/>
          <w:i/>
        </w:rPr>
        <w:t xml:space="preserve">The Crucial Role of the Translator and Interpreter in New Zealand Auckland: Bridging Linguistic Divides in a Global Hub</w:t>
      </w:r>
    </w:p>
    <w:bookmarkStart w:id="20" w:name="introduction"/>
    <w:p>
      <w:pPr>
        <w:pStyle w:val="Heading2"/>
      </w:pPr>
      <w:r>
        <w:t xml:space="preserve">Introduction</w:t>
      </w:r>
    </w:p>
    <w:p>
      <w:pPr>
        <w:pStyle w:val="FirstParagraph"/>
      </w:pPr>
      <w:r>
        <w:t xml:space="preserve">In an era defined by globalization, migration, and digital connectivity, language barriers remain one of the most significant obstacles to social cohesion, economic integration, and equitable access to justice. This</w:t>
      </w:r>
      <w:r>
        <w:t xml:space="preserve"> </w:t>
      </w:r>
      <w:r>
        <w:rPr>
          <w:bCs/>
          <w:b/>
        </w:rPr>
        <w:t xml:space="preserve">Term Paper</w:t>
      </w:r>
      <w:r>
        <w:t xml:space="preserve"> </w:t>
      </w:r>
      <w:r>
        <w:t xml:space="preserve">explores the vital functions of professional language services within a specific geographical and cultural context:</w:t>
      </w:r>
      <w:r>
        <w:t xml:space="preserve"> </w:t>
      </w:r>
      <w:r>
        <w:rPr>
          <w:bCs/>
          <w:b/>
        </w:rPr>
        <w:t xml:space="preserve">New Zealand Auckland</w:t>
      </w:r>
      <w:r>
        <w:t xml:space="preserve">. As the largest city in New Zealand, Auckland serves as the country’s primary economic engine and a multicultural melting pot. Consequently, the demand for skilled practitioners—specifically those functioning as both a</w:t>
      </w:r>
      <w:r>
        <w:t xml:space="preserve"> </w:t>
      </w:r>
      <w:r>
        <w:rPr>
          <w:bCs/>
          <w:b/>
        </w:rPr>
        <w:t xml:space="preserve">Translator Interpreter</w:t>
      </w:r>
      <w:r>
        <w:t xml:space="preserve"> </w:t>
      </w:r>
      <w:r>
        <w:t xml:space="preserve">hybrid professional or distinct roles within this ecosystem—is more critical than ever before.</w:t>
      </w:r>
    </w:p>
    <w:p>
      <w:pPr>
        <w:pStyle w:val="BodyText"/>
      </w:pPr>
      <w:r>
        <w:t xml:space="preserve">This document argues that effective communication in</w:t>
      </w:r>
      <w:r>
        <w:t xml:space="preserve"> </w:t>
      </w:r>
      <w:r>
        <w:rPr>
          <w:bCs/>
          <w:b/>
        </w:rPr>
        <w:t xml:space="preserve">New Zealand Auckland</w:t>
      </w:r>
      <w:r>
        <w:t xml:space="preserve"> </w:t>
      </w:r>
      <w:r>
        <w:t xml:space="preserve">requires not only linguistic proficiency but also deep cultural competency, particularly regarding the bicultural foundations of Aotearoa (New Zealand). The focus will be on how the</w:t>
      </w:r>
      <w:r>
        <w:t xml:space="preserve"> </w:t>
      </w:r>
      <w:r>
        <w:rPr>
          <w:bCs/>
          <w:b/>
        </w:rPr>
        <w:t xml:space="preserve">Translator Interpreter</w:t>
      </w:r>
      <w:r>
        <w:t xml:space="preserve"> </w:t>
      </w:r>
      <w:r>
        <w:t xml:space="preserve">serves as a bridge between the indigenous Māori population, recent migrants from diverse Asian and Pacific backgrounds, and the established English-speaking majority.</w:t>
      </w:r>
    </w:p>
    <w:bookmarkEnd w:id="20"/>
    <w:bookmarkStart w:id="21" w:name="X3d8a3ac625c7e000344e4b3c65c243d13f8e77d"/>
    <w:p>
      <w:pPr>
        <w:pStyle w:val="Heading2"/>
      </w:pPr>
      <w:r>
        <w:t xml:space="preserve">The Linguistic Landscape of New Zealand Auckland</w:t>
      </w:r>
    </w:p>
    <w:p>
      <w:pPr>
        <w:pStyle w:val="FirstParagraph"/>
      </w:pPr>
      <w:r>
        <w:t xml:space="preserve">To understand the necessity of professional language services in</w:t>
      </w:r>
      <w:r>
        <w:t xml:space="preserve"> </w:t>
      </w:r>
      <w:r>
        <w:rPr>
          <w:bCs/>
          <w:b/>
        </w:rPr>
        <w:t xml:space="preserve">New Zealand Auckland</w:t>
      </w:r>
      <w:r>
        <w:t xml:space="preserve">, one must first analyze its demographic composition. While English is the de facto dominant language, New Zealand is officially bilingual, recognizing Te Reo Māori as an official language alongside sign languages. However,</w:t>
      </w:r>
      <w:r>
        <w:t xml:space="preserve"> </w:t>
      </w:r>
      <w:r>
        <w:rPr>
          <w:bCs/>
          <w:b/>
        </w:rPr>
        <w:t xml:space="preserve">New Zealand Auckland</w:t>
      </w:r>
      <w:r>
        <w:t xml:space="preserve"> </w:t>
      </w:r>
      <w:r>
        <w:t xml:space="preserve">presents a unique linguistic tapestry that extends far beyond these two primary frameworks.</w:t>
      </w:r>
    </w:p>
    <w:p>
      <w:pPr>
        <w:pStyle w:val="BodyText"/>
      </w:pPr>
      <w:r>
        <w:t xml:space="preserve">Auckland is often cited as one of the most multicultural cities in the world. Significant populations speak Mandarin, Hindi, Samoan, Tongan, and various other Pacific and Asian languages. In this context, the role of the</w:t>
      </w:r>
      <w:r>
        <w:t xml:space="preserve"> </w:t>
      </w:r>
      <w:r>
        <w:rPr>
          <w:bCs/>
          <w:b/>
        </w:rPr>
        <w:t xml:space="preserve">Translator Interpreter</w:t>
      </w:r>
      <w:r>
        <w:t xml:space="preserve"> </w:t>
      </w:r>
      <w:r>
        <w:t xml:space="preserve">cannot be viewed merely as a mechanical conversion of words from Source Language (SL) to Target Language (TL). Instead, it is a complex sociolinguistic task that requires navigating power dynamics, cultural nuances, and legal responsibilities.</w:t>
      </w:r>
    </w:p>
    <w:bookmarkEnd w:id="21"/>
    <w:bookmarkStart w:id="22" w:name="Xd2729171af1845e545b9689aaf4ea5f427449c7"/>
    <w:p>
      <w:pPr>
        <w:pStyle w:val="Heading2"/>
      </w:pPr>
      <w:r>
        <w:t xml:space="preserve">Differentiating and Unifying Roles: The Translator and Interpreter</w:t>
      </w:r>
    </w:p>
    <w:p>
      <w:pPr>
        <w:pStyle w:val="FirstParagraph"/>
      </w:pPr>
      <w:r>
        <w:t xml:space="preserve">In academic discourse, the roles of translator and interpreter are distinct. A</w:t>
      </w:r>
      <w:r>
        <w:t xml:space="preserve"> </w:t>
      </w:r>
      <w:r>
        <w:rPr>
          <w:bCs/>
          <w:b/>
        </w:rPr>
        <w:t xml:space="preserve">Translator Interpreter</w:t>
      </w:r>
      <w:r>
        <w:t xml:space="preserve">, while often used as a combined term in job titles to denote bilingual capability, technically refers to two different modalities:</w:t>
      </w:r>
    </w:p>
    <w:p>
      <w:pPr>
        <w:numPr>
          <w:ilvl w:val="0"/>
          <w:numId w:val="1001"/>
        </w:numPr>
        <w:pStyle w:val="Compact"/>
      </w:pPr>
      <w:r>
        <w:rPr>
          <w:bCs/>
          <w:b/>
        </w:rPr>
        <w:t xml:space="preserve">Translators</w:t>
      </w:r>
      <w:r>
        <w:t xml:space="preserve"> </w:t>
      </w:r>
      <w:r>
        <w:t xml:space="preserve">work with written texts. In</w:t>
      </w:r>
      <w:r>
        <w:t xml:space="preserve"> </w:t>
      </w:r>
      <w:r>
        <w:rPr>
          <w:bCs/>
          <w:b/>
        </w:rPr>
        <w:t xml:space="preserve">New Zealand Auckland</w:t>
      </w:r>
      <w:r>
        <w:t xml:space="preserve">, this involves translating legal documents, medical records, educational materials, and government notices into various community languages.</w:t>
      </w:r>
    </w:p>
    <w:p>
      <w:pPr>
        <w:numPr>
          <w:ilvl w:val="0"/>
          <w:numId w:val="1001"/>
        </w:numPr>
        <w:pStyle w:val="Compact"/>
      </w:pPr>
      <w:r>
        <w:rPr>
          <w:bCs/>
          <w:b/>
        </w:rPr>
        <w:t xml:space="preserve">Interpreters</w:t>
      </w:r>
      <w:r>
        <w:t xml:space="preserve"> </w:t>
      </w:r>
      <w:r>
        <w:t xml:space="preserve">work with spoken or signed language in real-time. This includes court proceedings, diplomatic meetings between iwi (tribes) and local council members, hospital consultations, and emergency services calls.</w:t>
      </w:r>
    </w:p>
    <w:p>
      <w:pPr>
        <w:pStyle w:val="FirstParagraph"/>
      </w:pPr>
      <w:r>
        <w:t xml:space="preserve">This paper adopts the term</w:t>
      </w:r>
      <w:r>
        <w:t xml:space="preserve"> </w:t>
      </w:r>
      <w:r>
        <w:rPr>
          <w:bCs/>
          <w:b/>
        </w:rPr>
        <w:t xml:space="preserve">Translator Interpreter</w:t>
      </w:r>
      <w:r>
        <w:t xml:space="preserve"> </w:t>
      </w:r>
      <w:r>
        <w:t xml:space="preserve">to emphasize the holistic skill set required in a professional setting where practitioners may need to switch between modalities or where agencies require versatile staff capable of handling both written briefs and live interpretation assignments. In</w:t>
      </w:r>
      <w:r>
        <w:t xml:space="preserve"> </w:t>
      </w:r>
      <w:r>
        <w:rPr>
          <w:bCs/>
          <w:b/>
        </w:rPr>
        <w:t xml:space="preserve">New Zealand Auckland</w:t>
      </w:r>
      <w:r>
        <w:t xml:space="preserve">, this versatility is increasingly valuable as businesses and public services seek integrated communication solutions.</w:t>
      </w:r>
    </w:p>
    <w:bookmarkEnd w:id="22"/>
    <w:bookmarkStart w:id="23" w:name="X97d873df6796dca18a80671ab0447bec5ad7bbc"/>
    <w:p>
      <w:pPr>
        <w:pStyle w:val="Heading2"/>
      </w:pPr>
      <w:r>
        <w:t xml:space="preserve">Cultural Competency: The Te Tiriti o Waitangi Context</w:t>
      </w:r>
    </w:p>
    <w:p>
      <w:pPr>
        <w:pStyle w:val="FirstParagraph"/>
      </w:pPr>
      <w:r>
        <w:t xml:space="preserve">A defining feature of working as a</w:t>
      </w:r>
      <w:r>
        <w:t xml:space="preserve"> </w:t>
      </w:r>
      <w:r>
        <w:rPr>
          <w:bCs/>
          <w:b/>
        </w:rPr>
        <w:t xml:space="preserve">Translator Interpreter</w:t>
      </w:r>
      <w:r>
        <w:t xml:space="preserve"> </w:t>
      </w:r>
      <w:r>
        <w:t xml:space="preserve">in</w:t>
      </w:r>
      <w:r>
        <w:t xml:space="preserve"> </w:t>
      </w:r>
      <w:r>
        <w:rPr>
          <w:bCs/>
          <w:b/>
        </w:rPr>
        <w:t xml:space="preserve">New Zealand Auckland</w:t>
      </w:r>
      <w:r>
        <w:t xml:space="preserve">, or indeed anywhere in New Zealand, is the obligation to respect and facilitate communication within the framework of Te Tiriti o Waitangi (The Treaty of Waitangi). The Treaty establishes a partnership between the Crown and Māori.</w:t>
      </w:r>
    </w:p>
    <w:p>
      <w:pPr>
        <w:pStyle w:val="BodyText"/>
      </w:pPr>
      <w:r>
        <w:t xml:space="preserve">Therefore, a professional acting as a</w:t>
      </w:r>
      <w:r>
        <w:t xml:space="preserve"> </w:t>
      </w:r>
      <w:r>
        <w:rPr>
          <w:bCs/>
          <w:b/>
        </w:rPr>
        <w:t xml:space="preserve">Translator Interpreter</w:t>
      </w:r>
      <w:r>
        <w:t xml:space="preserve"> </w:t>
      </w:r>
      <w:r>
        <w:t xml:space="preserve">must possess specific knowledge regarding:</w:t>
      </w:r>
      <w:r>
        <w:t xml:space="preserve"> </w:t>
      </w:r>
      <w:r>
        <w:t xml:space="preserve">1. The historical context of Māori grievances.</w:t>
      </w:r>
      <w:r>
        <w:t xml:space="preserve"> </w:t>
      </w:r>
      <w:r>
        <w:t xml:space="preserve">2. Appropriate protocols (tikanga) when dealing with indigenous clients or officials.</w:t>
      </w:r>
      <w:r>
        <w:t xml:space="preserve"> </w:t>
      </w:r>
      <w:r>
        <w:t xml:space="preserve">3. The correct usage of honorifics and titles.</w:t>
      </w:r>
    </w:p>
    <w:p>
      <w:pPr>
        <w:pStyle w:val="BodyText"/>
      </w:pPr>
      <w:r>
        <w:t xml:space="preserve">In</w:t>
      </w:r>
      <w:r>
        <w:t xml:space="preserve"> </w:t>
      </w:r>
      <w:r>
        <w:rPr>
          <w:bCs/>
          <w:b/>
        </w:rPr>
        <w:t xml:space="preserve">New Zealand Auckland</w:t>
      </w:r>
      <w:r>
        <w:t xml:space="preserve">, where Māori communities are large and diverse, a failure to demonstrate cultural respect during interpretation can lead to severe breakdowns in trust. For example, in a legal setting, an interpreter must not only translate words but also ensure that the concept of "justice" is understood through both Western legal frameworks and potentially Māori perspectives on restoration (whakapapa and whanaungatanga). This elevates the</w:t>
      </w:r>
      <w:r>
        <w:t xml:space="preserve"> </w:t>
      </w:r>
      <w:r>
        <w:rPr>
          <w:bCs/>
          <w:b/>
        </w:rPr>
        <w:t xml:space="preserve">Translator Interpreter</w:t>
      </w:r>
      <w:r>
        <w:t xml:space="preserve"> </w:t>
      </w:r>
      <w:r>
        <w:t xml:space="preserve">from a mere conduit of language to a cultural broker.</w:t>
      </w:r>
    </w:p>
    <w:bookmarkEnd w:id="23"/>
    <w:bookmarkStart w:id="27" w:name="Xf258a27b7f09a473b0d3b7aa11131f5606737a3"/>
    <w:p>
      <w:pPr>
        <w:pStyle w:val="Heading2"/>
      </w:pPr>
      <w:r>
        <w:t xml:space="preserve">Sectors Requiring Professional Language Services in New Zealand Auckland</w:t>
      </w:r>
    </w:p>
    <w:bookmarkStart w:id="24" w:name="the-legal-system"/>
    <w:p>
      <w:pPr>
        <w:pStyle w:val="Heading3"/>
      </w:pPr>
      <w:r>
        <w:t xml:space="preserve">The Legal System</w:t>
      </w:r>
    </w:p>
    <w:p>
      <w:pPr>
        <w:pStyle w:val="FirstParagraph"/>
      </w:pPr>
      <w:r>
        <w:t xml:space="preserve">In the courts of</w:t>
      </w:r>
      <w:r>
        <w:t xml:space="preserve"> </w:t>
      </w:r>
      <w:r>
        <w:rPr>
          <w:bCs/>
          <w:b/>
        </w:rPr>
        <w:t xml:space="preserve">New Zealand Auckland</w:t>
      </w:r>
      <w:r>
        <w:t xml:space="preserve">, access to justice is contingent upon understanding. The right to fair trial includes the right to understand the proceedings and be understood. Here, a qualified</w:t>
      </w:r>
      <w:r>
        <w:t xml:space="preserve"> </w:t>
      </w:r>
      <w:r>
        <w:rPr>
          <w:bCs/>
          <w:b/>
        </w:rPr>
        <w:t xml:space="preserve">Translator Interpreter</w:t>
      </w:r>
      <w:r>
        <w:t xml:space="preserve"> </w:t>
      </w:r>
      <w:r>
        <w:t xml:space="preserve">is essential. Misinterpretation in criminal or family court cases can have life-altering consequences, including incorrect sentencing or wrongful loss of child custody. Professional bodies in</w:t>
      </w:r>
      <w:r>
        <w:t xml:space="preserve"> </w:t>
      </w:r>
      <w:r>
        <w:rPr>
          <w:bCs/>
          <w:b/>
        </w:rPr>
        <w:t xml:space="preserve">New Zealand Auckland</w:t>
      </w:r>
      <w:r>
        <w:t xml:space="preserve">, such as the New Zealand Society of Translators and Interpreters (NZSTI), enforce strict codes of ethics to ensure accuracy and impartiality.</w:t>
      </w:r>
    </w:p>
    <w:bookmarkEnd w:id="24"/>
    <w:bookmarkStart w:id="25" w:name="healthcare"/>
    <w:p>
      <w:pPr>
        <w:pStyle w:val="Heading3"/>
      </w:pPr>
      <w:r>
        <w:t xml:space="preserve">Healthcare</w:t>
      </w:r>
    </w:p>
    <w:p>
      <w:pPr>
        <w:pStyle w:val="FirstParagraph"/>
      </w:pPr>
      <w:r>
        <w:t xml:space="preserve">The health sector in</w:t>
      </w:r>
      <w:r>
        <w:t xml:space="preserve"> </w:t>
      </w:r>
      <w:r>
        <w:rPr>
          <w:bCs/>
          <w:b/>
        </w:rPr>
        <w:t xml:space="preserve">New Zealand Auckland</w:t>
      </w:r>
      <w:r>
        <w:t xml:space="preserve">, managed largely by the Counties Manukau Health, Waitematā District Health Board, and Auckland District Health Board (now transitioning to Te Whatu Ora - Health New Zealand), serves a highly diverse population. A medical</w:t>
      </w:r>
      <w:r>
        <w:t xml:space="preserve"> </w:t>
      </w:r>
      <w:r>
        <w:rPr>
          <w:bCs/>
          <w:b/>
        </w:rPr>
        <w:t xml:space="preserve">Translator Interpreter</w:t>
      </w:r>
      <w:r>
        <w:t xml:space="preserve"> </w:t>
      </w:r>
      <w:r>
        <w:t xml:space="preserve">plays a critical role in patient safety. Miscommunication regarding dosage, symptoms, or surgical consent can be fatal.</w:t>
      </w:r>
    </w:p>
    <w:p>
      <w:pPr>
        <w:pStyle w:val="BodyText"/>
      </w:pPr>
      <w:r>
        <w:t xml:space="preserve">Furthermore, cultural nuances in health beliefs vary significantly across cultures. A skilled interpreter helps healthcare providers understand these beliefs without compromising medical advice, ensuring that care is holistic and respectful of the patient's background.</w:t>
      </w:r>
    </w:p>
    <w:bookmarkEnd w:id="25"/>
    <w:bookmarkStart w:id="26" w:name="educational-institutions"/>
    <w:p>
      <w:pPr>
        <w:pStyle w:val="Heading3"/>
      </w:pPr>
      <w:r>
        <w:t xml:space="preserve">Educational Institutions</w:t>
      </w:r>
    </w:p>
    <w:p>
      <w:pPr>
        <w:pStyle w:val="FirstParagraph"/>
      </w:pPr>
      <w:r>
        <w:t xml:space="preserve">In the schools of</w:t>
      </w:r>
      <w:r>
        <w:t xml:space="preserve"> </w:t>
      </w:r>
      <w:r>
        <w:rPr>
          <w:bCs/>
          <w:b/>
        </w:rPr>
        <w:t xml:space="preserve">New Zealand Auckland</w:t>
      </w:r>
      <w:r>
        <w:t xml:space="preserve">, parents from non-English speaking backgrounds often struggle to engage with their children’s education. A</w:t>
      </w:r>
      <w:r>
        <w:t xml:space="preserve"> </w:t>
      </w:r>
      <w:r>
        <w:rPr>
          <w:bCs/>
          <w:b/>
        </w:rPr>
        <w:t xml:space="preserve">Translator Interpreter</w:t>
      </w:r>
      <w:r>
        <w:t xml:space="preserve"> </w:t>
      </w:r>
      <w:r>
        <w:t xml:space="preserve">facilitates parent-teacher interviews, ensuring that educational goals and behavioral expectations are clearly communicated. This engagement is statistically linked to better academic outcomes for migrant children.</w:t>
      </w:r>
    </w:p>
    <w:bookmarkEnd w:id="26"/>
    <w:bookmarkEnd w:id="27"/>
    <w:bookmarkStart w:id="28" w:name="X48315aba3f030d5a3186baee866ceee6c6b69bc"/>
    <w:p>
      <w:pPr>
        <w:pStyle w:val="Heading2"/>
      </w:pPr>
      <w:r>
        <w:t xml:space="preserve">Ethical Considerations and Professional Standards</w:t>
      </w:r>
    </w:p>
    <w:p>
      <w:pPr>
        <w:pStyle w:val="FirstParagraph"/>
      </w:pPr>
      <w:r>
        <w:t xml:space="preserve">The practice of a</w:t>
      </w:r>
      <w:r>
        <w:t xml:space="preserve"> </w:t>
      </w:r>
      <w:r>
        <w:rPr>
          <w:bCs/>
          <w:b/>
        </w:rPr>
        <w:t xml:space="preserve">Translator Interpreter</w:t>
      </w:r>
      <w:r>
        <w:t xml:space="preserve"> </w:t>
      </w:r>
      <w:r>
        <w:t xml:space="preserve">in</w:t>
      </w:r>
      <w:r>
        <w:t xml:space="preserve"> </w:t>
      </w:r>
      <w:r>
        <w:rPr>
          <w:bCs/>
          <w:b/>
        </w:rPr>
        <w:t xml:space="preserve">New Zealand Auckland</w:t>
      </w:r>
      <w:r>
        <w:t xml:space="preserve"> </w:t>
      </w:r>
      <w:r>
        <w:t xml:space="preserve">is governed by rigorous ethical standards. Confidentiality, accuracy, impartiality, and professional competence are paramount. Unlike informal interpreters (such as family members), certified professionals adhere to a code of conduct that protects the vulnerable parties involved.</w:t>
      </w:r>
    </w:p>
    <w:p>
      <w:pPr>
        <w:pStyle w:val="BodyText"/>
      </w:pPr>
      <w:r>
        <w:t xml:space="preserve">In</w:t>
      </w:r>
      <w:r>
        <w:t xml:space="preserve"> </w:t>
      </w:r>
      <w:r>
        <w:rPr>
          <w:bCs/>
          <w:b/>
        </w:rPr>
        <w:t xml:space="preserve">New Zealand Auckland</w:t>
      </w:r>
      <w:r>
        <w:t xml:space="preserve">, where community ties can be close-knit, the risk of conflict of interest is high. A professional</w:t>
      </w:r>
      <w:r>
        <w:t xml:space="preserve"> </w:t>
      </w:r>
      <w:r>
        <w:rPr>
          <w:bCs/>
          <w:b/>
        </w:rPr>
        <w:t xml:space="preserve">Translator Interpreter</w:t>
      </w:r>
      <w:r>
        <w:t xml:space="preserve"> </w:t>
      </w:r>
      <w:r>
        <w:t xml:space="preserve">must decline assignments where they have a personal relationship with either party to maintain neutrality. This ethical stance is crucial for maintaining public trust in institutions that rely on these services.</w:t>
      </w:r>
    </w:p>
    <w:bookmarkEnd w:id="28"/>
    <w:bookmarkStart w:id="29" w:name="the-impact-of-technology-and-the-future"/>
    <w:p>
      <w:pPr>
        <w:pStyle w:val="Heading2"/>
      </w:pPr>
      <w:r>
        <w:t xml:space="preserve">The Impact of Technology and the Future</w:t>
      </w:r>
    </w:p>
    <w:p>
      <w:pPr>
        <w:pStyle w:val="FirstParagraph"/>
      </w:pPr>
      <w:r>
        <w:t xml:space="preserve">With the rise of Artificial Intelligence (AI) and machine translation, some question the future necessity of human</w:t>
      </w:r>
      <w:r>
        <w:t xml:space="preserve"> </w:t>
      </w:r>
      <w:r>
        <w:rPr>
          <w:bCs/>
          <w:b/>
        </w:rPr>
        <w:t xml:space="preserve">Translator Interpreter</w:t>
      </w:r>
      <w:r>
        <w:t xml:space="preserve">s. However, in</w:t>
      </w:r>
      <w:r>
        <w:t xml:space="preserve"> </w:t>
      </w:r>
      <w:r>
        <w:rPr>
          <w:bCs/>
          <w:b/>
        </w:rPr>
        <w:t xml:space="preserve">New Zealand Auckland</w:t>
      </w:r>
      <w:r>
        <w:t xml:space="preserve">, high-stakes environments demand human oversight. While AI can provide a rough draft for a document or assist in remote interpreting via video link (Video Remote Interpreting - VRI), it lacks the cultural nuance required for Te Reo Māori interactions or complex legal terminology.</w:t>
      </w:r>
    </w:p>
    <w:p>
      <w:pPr>
        <w:pStyle w:val="BodyText"/>
      </w:pPr>
      <w:r>
        <w:t xml:space="preserve">The future of language services in</w:t>
      </w:r>
      <w:r>
        <w:t xml:space="preserve"> </w:t>
      </w:r>
      <w:r>
        <w:rPr>
          <w:bCs/>
          <w:b/>
        </w:rPr>
        <w:t xml:space="preserve">New Zealand Auckland</w:t>
      </w:r>
      <w:r>
        <w:t xml:space="preserve"> </w:t>
      </w:r>
      <w:r>
        <w:t xml:space="preserve">lies in hybrid models. Technological tools will support human practitioners, but the empathetic, culturally aware judgment of a human</w:t>
      </w:r>
      <w:r>
        <w:t xml:space="preserve"> </w:t>
      </w:r>
      <w:r>
        <w:rPr>
          <w:bCs/>
          <w:b/>
        </w:rPr>
        <w:t xml:space="preserve">Translator Interpreter</w:t>
      </w:r>
      <w:r>
        <w:t xml:space="preserve"> </w:t>
      </w:r>
      <w:r>
        <w:t xml:space="preserve">remains irreplaceable. Training programs must evolve to include digital literacy alongside traditional linguistic training.</w:t>
      </w:r>
    </w:p>
    <w:bookmarkEnd w:id="29"/>
    <w:bookmarkStart w:id="30" w:name="conclusion"/>
    <w:p>
      <w:pPr>
        <w:pStyle w:val="Heading2"/>
      </w:pPr>
      <w:r>
        <w:t xml:space="preserve">Conclusion</w:t>
      </w:r>
    </w:p>
    <w:p>
      <w:pPr>
        <w:pStyle w:val="FirstParagraph"/>
      </w:pPr>
      <w:r>
        <w:t xml:space="preserve">This</w:t>
      </w:r>
      <w:r>
        <w:t xml:space="preserve"> </w:t>
      </w:r>
      <w:r>
        <w:rPr>
          <w:bCs/>
          <w:b/>
        </w:rPr>
        <w:t xml:space="preserve">Term Paper</w:t>
      </w:r>
      <w:r>
        <w:rPr>
          <w:iCs/>
          <w:i/>
        </w:rPr>
        <w:t xml:space="preserve">,</w:t>
      </w:r>
      <w:r>
        <w:t xml:space="preserve">A Term Paper is an academic essay on a specific topic, which is submitted in support of coursework for a class.</w:t>
      </w:r>
    </w:p>
    <w:p>
      <w:pPr>
        <w:pStyle w:val="BodyText"/>
      </w:pPr>
      <w:r>
        <w:rPr>
          <w:bCs/>
          <w:b/>
        </w:rPr>
        <w:t xml:space="preserve">Footnotes:</w:t>
      </w:r>
      <w:r>
        <w:br/>
      </w:r>
      <w:r>
        <w:t xml:space="preserve">1. A Term Paper is an academic essay on a specific topic, which is submitted in support of coursework for a class.</w:t>
      </w:r>
      <w:r>
        <w:br/>
      </w:r>
      <w:r>
        <w:t xml:space="preserve">2. "Kiwi" is often used colloquially to refer to New Zealanders, but this paper uses formal terminology for academic rigor.</w:t>
      </w:r>
      <w:r>
        <w:br/>
      </w:r>
      <w:r>
        <w:t xml:space="preserve">3. Te Reo Māori refers to the Māori language.</w:t>
      </w:r>
    </w:p>
    <w:p>
      <w:pPr>
        <w:pStyle w:val="BodyText"/>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New Zealand Auckland</w:t>
      </w:r>
      <w:r>
        <w:t xml:space="preserve">Footnote 3: The specific geographic and cultural context provided by New Zealand Auckland necessitates a specialized approach to language services that respects local biculturalism while addressing multicultural diversity.</w:t>
      </w:r>
    </w:p>
    <w:p>
      <w:pPr>
        <w:pStyle w:val="BodyText"/>
      </w:pPr>
      <w:r>
        <w:rPr>
          <w:bCs/>
          <w:b/>
        </w:rPr>
        <w:t xml:space="preserve">References (Simulated for Academic Format):</w:t>
      </w:r>
    </w:p>
    <w:p>
      <w:pPr>
        <w:numPr>
          <w:ilvl w:val="0"/>
          <w:numId w:val="1002"/>
        </w:numPr>
        <w:pStyle w:val="Compact"/>
      </w:pPr>
      <w:r>
        <w:t xml:space="preserve">New Zealand Society of Translators and Interpreters (NZSTI). "Code of Ethics."</w:t>
      </w:r>
    </w:p>
    <w:p>
      <w:pPr>
        <w:numPr>
          <w:ilvl w:val="0"/>
          <w:numId w:val="1002"/>
        </w:numPr>
        <w:pStyle w:val="Compact"/>
      </w:pPr>
      <w:r>
        <w:t xml:space="preserve">Treaty of Waitangi. "The Treaty Texts." Government of New Zealand.</w:t>
      </w:r>
    </w:p>
    <w:p>
      <w:pPr>
        <w:numPr>
          <w:ilvl w:val="0"/>
          <w:numId w:val="1002"/>
        </w:numPr>
        <w:pStyle w:val="Compact"/>
      </w:pPr>
      <w:r>
        <w:t xml:space="preserve">Denny, S., &amp; Liddicoat, A. J. (2013). Language Policy in New Zealand: From English to Multilingualism.</w:t>
      </w:r>
    </w:p>
    <w:p>
      <w:pPr>
        <w:numPr>
          <w:ilvl w:val="0"/>
          <w:numId w:val="1002"/>
        </w:numPr>
        <w:pStyle w:val="Compact"/>
      </w:pPr>
      <w:r>
        <w:t xml:space="preserve">Auckland Council Reports on Community Engagement and Linguistic Diversity (Various Years).</w:t>
      </w:r>
    </w:p>
    <w:p>
      <w:pPr>
        <w:pStyle w:val="FirstParagraph"/>
      </w:pPr>
      <w:r>
        <w:t xml:space="preserve">The integration of diverse populations into the social, economic, and legal fabric of</w:t>
      </w:r>
      <w:r>
        <w:t xml:space="preserve"> </w:t>
      </w:r>
      <w:r>
        <w:rPr>
          <w:bCs/>
          <w:b/>
        </w:rPr>
        <w:t xml:space="preserve">New Zealand Auckland</w:t>
      </w:r>
      <w:r>
        <w:t xml:space="preserve">Footnote 4: Integration implies full participation in society, which is facilitated by accurate and culturally competent communication.</w:t>
      </w:r>
    </w:p>
    <w:p>
      <w:pPr>
        <w:pStyle w:val="BodyText"/>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and Interpreter Services in New Zealand Auckland</dc:title>
  <dc:creator/>
  <dc:language>en</dc:language>
  <cp:keywords/>
  <dcterms:created xsi:type="dcterms:W3CDTF">2026-07-29T18:25:37Z</dcterms:created>
  <dcterms:modified xsi:type="dcterms:W3CDTF">2026-07-29T18:25:37Z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