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Australia</w:t>
      </w:r>
      <w:r>
        <w:t xml:space="preserve"> </w:t>
      </w:r>
      <w:r>
        <w:t xml:space="preserve">Melbourne</w:t>
      </w:r>
    </w:p>
    <w:bookmarkStart w:id="33" w:name="Xfe84c096bf9c973815e34524deba80df58bd0c9"/>
    <w:p>
      <w:pPr>
        <w:pStyle w:val="Heading1"/>
      </w:pPr>
      <w:r>
        <w:t xml:space="preserve">The Academic Imperative: Defining the Contemporary Role of the University Lecturer in Australia Melbourne</w:t>
      </w:r>
    </w:p>
    <w:p>
      <w:pPr>
        <w:pStyle w:val="FirstParagraph"/>
      </w:pPr>
      <w:r>
        <w:rPr>
          <w:bCs/>
          <w:b/>
        </w:rPr>
        <w:t xml:space="preserve">Submitted by:</w:t>
      </w:r>
      <w:r>
        <w:t xml:space="preserve">[Student Name]</w:t>
      </w:r>
      <w:r>
        <w:br/>
      </w:r>
      <w:r>
        <w:rPr>
          <w:bCs/>
          <w:b/>
        </w:rPr>
        <w:t xml:space="preserve">Date:</w:t>
      </w:r>
      <w:r>
        <w:t xml:space="preserve">[Current Date]</w:t>
      </w:r>
    </w:p>
    <w:bookmarkStart w:id="20" w:name="abstract"/>
    <w:p>
      <w:pPr>
        <w:pStyle w:val="Heading3"/>
      </w:pPr>
      <w:r>
        <w:t xml:space="preserve">Abstract</w:t>
      </w:r>
    </w:p>
    <w:p>
      <w:pPr>
        <w:pStyle w:val="FirstParagraph"/>
      </w:pPr>
      <w:r>
        <w:t xml:space="preserve">This term paper examines the multifaceted role of the University Lecturer within the higher education sector, specifically focusing on the dynamic academic environment of Australia Melbourne. As a global hub for international education and research, Melbourne’s universities demand a unique synthesis of pedagogical excellence, scholarly rigor, and administrative competence from their faculty. This document explores how lecturers navigate the pressures of teaching loadings, research expectations (Excellence in Research for Australia - ERA), and community engagement while adhering to the cultural ethos of Australian academia.</w:t>
      </w:r>
    </w:p>
    <w:bookmarkEnd w:id="20"/>
    <w:bookmarkStart w:id="21" w:name="introduction"/>
    <w:p>
      <w:pPr>
        <w:pStyle w:val="Heading2"/>
      </w:pPr>
      <w:r>
        <w:t xml:space="preserve">1. Introduction</w:t>
      </w:r>
    </w:p>
    <w:p>
      <w:pPr>
        <w:pStyle w:val="FirstParagraph"/>
      </w:pPr>
      <w:r>
        <w:t xml:space="preserve">The landscape of higher education has undergone significant transformation in the twenty-first century, moving away from the ivory tower model toward a more integrated approach that values teaching, research, and industry engagement equally. Nowhere is this shift more evident than in Australia Melbourne, a city renowned for its vibrant cultural scene and robust academic institutions. In this context, the</w:t>
      </w:r>
      <w:r>
        <w:t xml:space="preserve"> </w:t>
      </w:r>
      <w:r>
        <w:rPr>
          <w:bCs/>
          <w:b/>
        </w:rPr>
        <w:t xml:space="preserve">University Lecturer</w:t>
      </w:r>
      <w:r>
        <w:t xml:space="preserve"> </w:t>
      </w:r>
      <w:r>
        <w:t xml:space="preserve">serves as the linchpin of the educational ecosystem.</w:t>
      </w:r>
    </w:p>
    <w:p>
      <w:pPr>
        <w:pStyle w:val="BodyText"/>
      </w:pPr>
      <w:r>
        <w:t xml:space="preserve">Institutions such as The University of Melbourne, Monash University, RMIT University, and Deakin University operate within a highly competitive global market. Consequently, the definition of a successful lecturer in Australia Melbourne has evolved. It is no longer sufficient to merely possess subject matter expertise; modern academics must be facilitators of learning, contributors to global knowledge production through rigorous research, and active participants in the socio-economic fabric of Melbourne’s growing tech and creative industries.</w:t>
      </w:r>
    </w:p>
    <w:bookmarkEnd w:id="21"/>
    <w:bookmarkStart w:id="23" w:name="Xd5ca1d369a7e6eeba606227399321bdbd2d529a"/>
    <w:p>
      <w:pPr>
        <w:pStyle w:val="Heading2"/>
      </w:pPr>
      <w:r>
        <w:t xml:space="preserve">2. Pedagogical Responsibilities: The Teaching Load</w:t>
      </w:r>
    </w:p>
    <w:p>
      <w:pPr>
        <w:pStyle w:val="FirstParagraph"/>
      </w:pPr>
      <w:r>
        <w:t xml:space="preserve">The primary function of a University Lecturer is, fundamentally, education. However, the pedagogical approach required in Australia Melbourne differs from traditional lecture-heavy models seen in other jurisdictions. There is a strong emphasis on student-centered learning, critical thinking, and active engagement.</w:t>
      </w:r>
    </w:p>
    <w:p>
      <w:pPr>
        <w:pStyle w:val="BodyText"/>
      </w:pPr>
      <w:r>
        <w:t xml:space="preserve">Lecturers are expected to design curricula that reflect contemporary industry standards while fostering intellectual curiosity. In courses ranging from Engineering at the University of Melbourne to Creative Arts at RMIT, lecturers must balance theoretical frameworks with practical application. This requires a deep understanding of diverse student cohorts, particularly given Melbourne’s status as a top destination for international students.</w:t>
      </w:r>
    </w:p>
    <w:bookmarkStart w:id="22" w:name="inclusivity-and-cultural-competence"/>
    <w:p>
      <w:pPr>
        <w:pStyle w:val="Heading3"/>
      </w:pPr>
      <w:r>
        <w:t xml:space="preserve">2.1 Inclusivity and Cultural Competence</w:t>
      </w:r>
    </w:p>
    <w:p>
      <w:pPr>
        <w:pStyle w:val="FirstParagraph"/>
      </w:pPr>
      <w:r>
        <w:t xml:space="preserve">A critical aspect of teaching in Australia Melbourne is the commitment to inclusivity. Lecturers must navigate multicultural classrooms with sensitivity and skill. This involves implementing Universal Design for Learning (UDL) principles to support students with varying needs, including those from non-English speaking backgrounds. The Australian Government’s Standards for Tertiary Education and Skills (TES) mandates high-quality teaching experiences, placing the onus on lecturers to maintain rigorous academic standards while providing adequate scaffolding for diverse learners.</w:t>
      </w:r>
    </w:p>
    <w:bookmarkEnd w:id="22"/>
    <w:bookmarkEnd w:id="23"/>
    <w:bookmarkStart w:id="26" w:name="Xac547fbde9e3b59e425cd7270cc2bcd77d5814f"/>
    <w:p>
      <w:pPr>
        <w:pStyle w:val="Heading2"/>
      </w:pPr>
      <w:r>
        <w:t xml:space="preserve">3. Research Expectations: The "Triple Bottom Line"</w:t>
      </w:r>
    </w:p>
    <w:p>
      <w:pPr>
        <w:pStyle w:val="FirstParagraph"/>
      </w:pPr>
      <w:r>
        <w:t xml:space="preserve">In Australian universities, particularly Group of Eight (Go8) institutions located in Melbourne, the role of the lecturer is inextricably linked to research output. This is often referred to as the "triple bottom line": teaching, research, and service.</w:t>
      </w:r>
    </w:p>
    <w:bookmarkStart w:id="24" w:name="excellence-in-research-for-australia-era"/>
    <w:p>
      <w:pPr>
        <w:pStyle w:val="Heading3"/>
      </w:pPr>
      <w:r>
        <w:t xml:space="preserve">3.1 Excellence in Research for Australia (ERA)</w:t>
      </w:r>
    </w:p>
    <w:p>
      <w:pPr>
        <w:pStyle w:val="FirstParagraph"/>
      </w:pPr>
      <w:r>
        <w:t xml:space="preserve">Lecturers are evaluated based on their contributions to national research frameworks such as the Excellence in Research for Australia (ERA). In Melbourne’s competitive academic environment, securing external grants and publishing in high-impact journals is essential not only for career advancement but also for the reputation of the institution. A University Lecturer is expected to lead or actively participate in collaborative projects that address global challenges, from climate change solutions developed at Monash to health innovations pioneered at The University of Melbourne.</w:t>
      </w:r>
    </w:p>
    <w:bookmarkEnd w:id="24"/>
    <w:bookmarkStart w:id="25" w:name="postgraduate-supervision"/>
    <w:p>
      <w:pPr>
        <w:pStyle w:val="Heading3"/>
      </w:pPr>
      <w:r>
        <w:t xml:space="preserve">3.2 Postgraduate Supervision</w:t>
      </w:r>
    </w:p>
    <w:p>
      <w:pPr>
        <w:pStyle w:val="FirstParagraph"/>
      </w:pPr>
      <w:r>
        <w:t xml:space="preserve">A significant portion of a lecturer’s research time is dedicated to supervising Honours and Higher Degree by Research (HDR) students. This mentorship role is crucial for the sustainability of academic disciplines in Australia Melbourne. Lecturers guide early-career researchers through the intricacies of academic writing, methodology, and publication ethics, thereby perpetuating the cycle of knowledge production.</w:t>
      </w:r>
    </w:p>
    <w:bookmarkEnd w:id="25"/>
    <w:bookmarkEnd w:id="26"/>
    <w:bookmarkStart w:id="29" w:name="administrative-and-community-engagement"/>
    <w:p>
      <w:pPr>
        <w:pStyle w:val="Heading2"/>
      </w:pPr>
      <w:r>
        <w:t xml:space="preserve">4. Administrative and Community Engagement</w:t>
      </w:r>
    </w:p>
    <w:p>
      <w:pPr>
        <w:pStyle w:val="FirstParagraph"/>
      </w:pPr>
      <w:r>
        <w:t xml:space="preserve">The modern University Lecturer in Australia Melbourne cannot operate solely within their discipline. There is an increasing expectation for faculty to engage in administrative duties that support institutional governance and strategic planning.</w:t>
      </w:r>
    </w:p>
    <w:bookmarkStart w:id="27" w:name="institutional-governance"/>
    <w:p>
      <w:pPr>
        <w:pStyle w:val="Heading3"/>
      </w:pPr>
      <w:r>
        <w:t xml:space="preserve">4.1 Institutional Governance</w:t>
      </w:r>
    </w:p>
    <w:p>
      <w:pPr>
        <w:pStyle w:val="FirstParagraph"/>
      </w:pPr>
      <w:r>
        <w:t xml:space="preserve">Lecturers often serve on committees related to curriculum development, ethical approval processes, and faculty management. This service component ensures that academic staff have a voice in the decision-making processes of their universities, fostering a sense of shared governance.</w:t>
      </w:r>
    </w:p>
    <w:bookmarkEnd w:id="27"/>
    <w:bookmarkStart w:id="28" w:name="industry-partnerships"/>
    <w:p>
      <w:pPr>
        <w:pStyle w:val="Heading3"/>
      </w:pPr>
      <w:r>
        <w:t xml:space="preserve">4.2 Industry Partnerships</w:t>
      </w:r>
    </w:p>
    <w:p>
      <w:pPr>
        <w:pStyle w:val="FirstParagraph"/>
      </w:pPr>
      <w:r>
        <w:t xml:space="preserve">Melbourne is home to numerous startups, multinational corporations, and government agencies. Lecturers are encouraged to bridge the gap between academia and industry through consultancy work, guest lecturing from practitioners, and collaborative projects. For instance, law lecturers may engage with local firms on pro bono projects, while business school academics might consult for small-to-medium enterprises in the Melbourne CBD. This engagement enhances employability outcomes for students and ensures that academic content remains relevant to market demands.</w:t>
      </w:r>
    </w:p>
    <w:bookmarkEnd w:id="28"/>
    <w:bookmarkEnd w:id="29"/>
    <w:bookmarkStart w:id="30" w:name="X6e65a1c56d1f2133d5a77a6dedfcd4c7c180daa"/>
    <w:p>
      <w:pPr>
        <w:pStyle w:val="Heading2"/>
      </w:pPr>
      <w:r>
        <w:t xml:space="preserve">5. Challenges Facing University Lecturers in Australia Melbourne</w:t>
      </w:r>
    </w:p>
    <w:p>
      <w:pPr>
        <w:pStyle w:val="FirstParagraph"/>
      </w:pPr>
      <w:r>
        <w:t xml:space="preserve">Despite the prestige associated with academic positions, University Lecturers in Australia Melbourne face significant challenges.</w:t>
      </w:r>
    </w:p>
    <w:p>
      <w:pPr>
        <w:numPr>
          <w:ilvl w:val="0"/>
          <w:numId w:val="1001"/>
        </w:numPr>
        <w:pStyle w:val="Compact"/>
      </w:pPr>
      <w:r>
        <w:rPr>
          <w:bCs/>
          <w:b/>
        </w:rPr>
        <w:t xml:space="preserve">Bureaucratic Burden:</w:t>
      </w:r>
      <w:r>
        <w:t xml:space="preserve"> </w:t>
      </w:r>
      <w:r>
        <w:t xml:space="preserve">Increasing administrative requirements can detract from time spent on teaching and research.</w:t>
      </w:r>
    </w:p>
    <w:p>
      <w:pPr>
        <w:numPr>
          <w:ilvl w:val="0"/>
          <w:numId w:val="1001"/>
        </w:numPr>
        <w:pStyle w:val="Compact"/>
      </w:pPr>
      <w:r>
        <w:rPr>
          <w:bCs/>
          <w:b/>
        </w:rPr>
        <w:t xml:space="preserve">Funding Pressures:</w:t>
      </w:r>
      <w:r>
        <w:t xml:space="preserve"> </w:t>
      </w:r>
      <w:r>
        <w:t xml:space="preserve">Fluctuations in government funding for higher education create uncertainty, particularly for disciplines that rely heavily on public subsidies.</w:t>
      </w:r>
    </w:p>
    <w:p>
      <w:pPr>
        <w:numPr>
          <w:ilvl w:val="0"/>
          <w:numId w:val="1001"/>
        </w:numPr>
        <w:pStyle w:val="Compact"/>
      </w:pPr>
      <w:r>
        <w:rPr>
          <w:bCs/>
          <w:b/>
        </w:rPr>
        <w:t xml:space="preserve">Mental Health and Wellbeing:</w:t>
      </w:r>
      <w:r>
        <w:t xml:space="preserve"> </w:t>
      </w:r>
      <w:r>
        <w:t xml:space="preserve">The pressure to publish ("publish or perish") while managing large class sizes can lead to burnout. Australian universities are increasingly recognizing the need for robust support systems for academic staff.</w:t>
      </w:r>
    </w:p>
    <w:p>
      <w:pPr>
        <w:numPr>
          <w:ilvl w:val="0"/>
          <w:numId w:val="1001"/>
        </w:numPr>
        <w:pStyle w:val="Compact"/>
      </w:pPr>
      <w:r>
        <w:rPr>
          <w:bCs/>
          <w:b/>
        </w:rPr>
        <w:t xml:space="preserve">Casualization of Labor:</w:t>
      </w:r>
      <w:r>
        <w:t xml:space="preserve"> </w:t>
      </w:r>
      <w:r>
        <w:t xml:space="preserve">While tenured positions remain prestigious, there is a growing reliance on casual academic staff. This term paper primarily focuses on the expectations placed upon permanent University Lecturers, but it is important to acknowledge that their workload often encompasses managing and mentoring a larger contingent of casual tutors and sessional staff.</w:t>
      </w:r>
    </w:p>
    <w:bookmarkEnd w:id="30"/>
    <w:bookmarkStart w:id="31" w:name="conclusion"/>
    <w:p>
      <w:pPr>
        <w:pStyle w:val="Heading2"/>
      </w:pPr>
      <w:r>
        <w:t xml:space="preserve">6. Conclusion</w:t>
      </w:r>
    </w:p>
    <w:p>
      <w:pPr>
        <w:pStyle w:val="FirstParagraph"/>
      </w:pPr>
      <w:r>
        <w:t xml:space="preserve">In conclusion, the role of the University Lecturer in Australia Melbourne is complex, dynamic, and indispensable. It requires a delicate balancing act between teaching excellence, impactful research, and community service. As Melbourne continues to assert its position as a global education leader, its universities will rely on lecturers who are not only subject experts but also innovative educators and engaged citizens.</w:t>
      </w:r>
    </w:p>
    <w:p>
      <w:pPr>
        <w:pStyle w:val="BodyText"/>
      </w:pPr>
      <w:r>
        <w:t xml:space="preserve">The future of higher education in this region depends on supporting these professionals through sustainable workloads, adequate funding, and professional development opportunities. By recognizing the multifaceted contributions of University Lecturers, Australia Melbourne can continue to foster an academic environment that produces skilled graduates and advances global knowledge.</w:t>
      </w:r>
    </w:p>
    <w:bookmarkEnd w:id="31"/>
    <w:bookmarkStart w:id="32" w:name="references"/>
    <w:p>
      <w:pPr>
        <w:pStyle w:val="Heading2"/>
      </w:pPr>
      <w:r>
        <w:t xml:space="preserve">7. References</w:t>
      </w:r>
    </w:p>
    <w:p>
      <w:pPr>
        <w:numPr>
          <w:ilvl w:val="0"/>
          <w:numId w:val="1002"/>
        </w:numPr>
        <w:pStyle w:val="Compact"/>
      </w:pPr>
      <w:r>
        <w:rPr>
          <w:bCs/>
          <w:b/>
        </w:rPr>
        <w:t xml:space="preserve">Tertiary Education Quality and Standards Agency (TEQSA).</w:t>
      </w:r>
      <w:r>
        <w:t xml:space="preserve"> </w:t>
      </w:r>
      <w:r>
        <w:t xml:space="preserve">(n.d.). *National Standards for Higher Education*. Retrieved from [URL]</w:t>
      </w:r>
    </w:p>
    <w:p>
      <w:pPr>
        <w:numPr>
          <w:ilvl w:val="0"/>
          <w:numId w:val="1002"/>
        </w:numPr>
        <w:pStyle w:val="Compact"/>
      </w:pPr>
      <w:r>
        <w:rPr>
          <w:bCs/>
          <w:b/>
        </w:rPr>
        <w:t xml:space="preserve">Australian Research Council.</w:t>
      </w:r>
      <w:r>
        <w:t xml:space="preserve"> </w:t>
      </w:r>
      <w:r>
        <w:t xml:space="preserve">(2023). *Excellence in Research for Australia Guidelines*. Canberra: ARC.</w:t>
      </w:r>
    </w:p>
    <w:p>
      <w:pPr>
        <w:numPr>
          <w:ilvl w:val="0"/>
          <w:numId w:val="1002"/>
        </w:numPr>
        <w:pStyle w:val="Compact"/>
      </w:pPr>
      <w:r>
        <w:rPr>
          <w:bCs/>
          <w:b/>
        </w:rPr>
        <w:t xml:space="preserve">The University of Melbourne.</w:t>
      </w:r>
      <w:r>
        <w:t xml:space="preserve"> </w:t>
      </w:r>
      <w:r>
        <w:t xml:space="preserve">(2024). *Academic Staff Performance Review Framework*. Melbourne: UoM Press.</w:t>
      </w:r>
    </w:p>
    <w:p>
      <w:pPr>
        <w:numPr>
          <w:ilvl w:val="0"/>
          <w:numId w:val="1002"/>
        </w:numPr>
        <w:pStyle w:val="Compact"/>
      </w:pPr>
      <w:r>
        <w:rPr>
          <w:bCs/>
          <w:b/>
        </w:rPr>
        <w:t xml:space="preserve">Gill, R.</w:t>
      </w:r>
      <w:r>
        <w:t xml:space="preserve"> </w:t>
      </w:r>
      <w:r>
        <w:t xml:space="preserve">(2014). *Neoliberalism and Higher Education in Australia*. London: Routledge.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University Lecturer in Australia Melbourne</dc:title>
  <dc:creator/>
  <dc:language>en</dc:language>
  <cp:keywords/>
  <dcterms:created xsi:type="dcterms:W3CDTF">2026-07-29T04:14:23Z</dcterms:created>
  <dcterms:modified xsi:type="dcterms:W3CDTF">2026-07-29T04:14:23Z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