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China</w:t>
      </w:r>
      <w:r>
        <w:t xml:space="preserve"> </w:t>
      </w:r>
      <w:r>
        <w:t xml:space="preserve">Beijing</w:t>
      </w:r>
    </w:p>
    <w:bookmarkStart w:id="25" w:name="X70afc661252afd46c2848cc9094daaab8fd49a0"/>
    <w:p>
      <w:pPr>
        <w:pStyle w:val="Heading1"/>
      </w:pPr>
      <w:r>
        <w:t xml:space="preserve">The Role and Evolution of the University Lecturer in China Beijing</w:t>
      </w:r>
    </w:p>
    <w:p>
      <w:pPr>
        <w:pStyle w:val="FirstParagraph"/>
      </w:pPr>
      <w:r>
        <w:rPr>
          <w:bCs/>
          <w:b/>
        </w:rPr>
        <w:t xml:space="preserve">A Term Paper Analysis of Academic Leadership, Cultural Integration, and Institutional Reform</w:t>
      </w:r>
    </w:p>
    <w:p>
      <w:pPr>
        <w:pStyle w:val="BodyText"/>
      </w:pPr>
      <w:r>
        <w:rPr>
          <w:bCs/>
          <w:b/>
        </w:rPr>
        <w:t xml:space="preserve">Date:</w:t>
      </w:r>
      <w:r>
        <w:t xml:space="preserve"> </w:t>
      </w:r>
      <w:r>
        <w:t xml:space="preserve">October 26, 2023</w:t>
      </w:r>
    </w:p>
    <w:p>
      <w:pPr>
        <w:pStyle w:val="BodyText"/>
      </w:pPr>
      <w:r>
        <w:rPr>
          <w:bCs/>
          <w:b/>
        </w:rPr>
        <w:t xml:space="preserve">Subject:</w:t>
      </w:r>
      <w:r>
        <w:t xml:space="preserve"> </w:t>
      </w:r>
      <w:r>
        <w:t xml:space="preserve">Higher Education Dynamics in the People’s Republic of China</w:t>
      </w:r>
    </w:p>
    <w:bookmarkStart w:id="20" w:name="Xaa11dcd55de8a40482c84272e4e5a6b24928859"/>
    <w:p>
      <w:pPr>
        <w:pStyle w:val="Heading2"/>
      </w:pPr>
      <w:r>
        <w:t xml:space="preserve">I. Introduction: The Context of Beijing as an Academic Hub</w:t>
      </w:r>
    </w:p>
    <w:p>
      <w:pPr>
        <w:pStyle w:val="FirstParagraph"/>
      </w:pPr>
      <w:r>
        <w:t xml:space="preserve">The landscape of higher education in the People’s Republic of China is undergoing a profound transformation, driven by national strategies such as "Double First-Class" and global integration initiatives. At the epicenter of this academic renaissance lies</w:t>
      </w:r>
      <w:r>
        <w:t xml:space="preserve"> </w:t>
      </w:r>
      <w:r>
        <w:rPr>
          <w:bCs/>
          <w:b/>
        </w:rPr>
        <w:t xml:space="preserve">China Beijing</w:t>
      </w:r>
      <w:r>
        <w:t xml:space="preserve">, a city that serves not merely as the political capital but as the intellectual heartland of modern Chinese education. Within this dynamic environment, the figure of the</w:t>
      </w:r>
      <w:r>
        <w:t xml:space="preserve"> </w:t>
      </w:r>
      <w:r>
        <w:rPr>
          <w:bCs/>
          <w:b/>
        </w:rPr>
        <w:t xml:space="preserve">University Lecturer</w:t>
      </w:r>
      <w:r>
        <w:t xml:space="preserve"> </w:t>
      </w:r>
      <w:r>
        <w:t xml:space="preserve">has evolved from a traditional transmitter of knowledge into a complex role encompassing researcher, cultural ambassador, policy implementer, and mentor. This term paper explores the multifaceted responsibilities of the</w:t>
      </w:r>
      <w:r>
        <w:t xml:space="preserve"> </w:t>
      </w:r>
      <w:r>
        <w:rPr>
          <w:bCs/>
          <w:b/>
        </w:rPr>
        <w:t xml:space="preserve">University Lecturer</w:t>
      </w:r>
      <w:r>
        <w:t xml:space="preserve"> </w:t>
      </w:r>
      <w:r>
        <w:t xml:space="preserve">operating within</w:t>
      </w:r>
      <w:r>
        <w:t xml:space="preserve"> </w:t>
      </w:r>
      <w:r>
        <w:rPr>
          <w:bCs/>
          <w:b/>
        </w:rPr>
        <w:t xml:space="preserve">China Beijing</w:t>
      </w:r>
      <w:r>
        <w:t xml:space="preserve">, analyzing how local institutional cultures intersect with global academic standards.</w:t>
      </w:r>
      <w:r>
        <w:t xml:space="preserve"> </w:t>
      </w:r>
      <w:r>
        <w:t xml:space="preserve">To understand the current state of academia in</w:t>
      </w:r>
      <w:r>
        <w:t xml:space="preserve"> </w:t>
      </w:r>
      <w:r>
        <w:rPr>
          <w:bCs/>
          <w:b/>
        </w:rPr>
        <w:t xml:space="preserve">China Beijing</w:t>
      </w:r>
      <w:r>
        <w:t xml:space="preserve">, one must first recognize its unique position. The city hosts some of the nation’s most prestigious institutions, including Peking University and Tsinghua University, as well as numerous foreign-funded cooperative programs. In this context, the</w:t>
      </w:r>
      <w:r>
        <w:t xml:space="preserve"> </w:t>
      </w:r>
      <w:r>
        <w:rPr>
          <w:bCs/>
          <w:b/>
        </w:rPr>
        <w:t xml:space="preserve">University Lecturer</w:t>
      </w:r>
      <w:r>
        <w:t xml:space="preserve"> </w:t>
      </w:r>
      <w:r>
        <w:t xml:space="preserve">is expected to navigate a dual pressure: maintaining rigorous international research outputs while adhering to local pedagogical expectations and ideological frameworks. This duality defines the modern professional identity of academic staff in the region.</w:t>
      </w:r>
    </w:p>
    <w:bookmarkEnd w:id="20"/>
    <w:bookmarkStart w:id="21" w:name="ii.-the-shifting-pedagogical-paradigm"/>
    <w:p>
      <w:pPr>
        <w:pStyle w:val="Heading2"/>
      </w:pPr>
      <w:r>
        <w:t xml:space="preserve">II. The Shifting Pedagogical Paradigm</w:t>
      </w:r>
    </w:p>
    <w:p>
      <w:pPr>
        <w:pStyle w:val="FirstParagraph"/>
      </w:pPr>
      <w:r>
        <w:t xml:space="preserve">Historically, the role of the</w:t>
      </w:r>
      <w:r>
        <w:t xml:space="preserve"> </w:t>
      </w:r>
      <w:r>
        <w:rPr>
          <w:bCs/>
          <w:b/>
        </w:rPr>
        <w:t xml:space="preserve">University Lecturer</w:t>
      </w:r>
      <w:r>
        <w:t xml:space="preserve"> </w:t>
      </w:r>
      <w:r>
        <w:t xml:space="preserve">in China was characterized by a teacher-centered approach, where authority was placed squarely on the instructor’s knowledge and moral standing. However, contemporary universities in</w:t>
      </w:r>
      <w:r>
        <w:t xml:space="preserve"> </w:t>
      </w:r>
      <w:r>
        <w:rPr>
          <w:bCs/>
          <w:b/>
        </w:rPr>
        <w:t xml:space="preserve">China Beijing</w:t>
      </w:r>
      <w:r>
        <w:t xml:space="preserve"> </w:t>
      </w:r>
      <w:r>
        <w:t xml:space="preserve">are aggressively pursuing pedagogical reforms aimed at critical thinking and student engagement. The modern</w:t>
      </w:r>
      <w:r>
        <w:t xml:space="preserve"> </w:t>
      </w:r>
      <w:r>
        <w:rPr>
          <w:bCs/>
          <w:b/>
        </w:rPr>
        <w:t xml:space="preserve">University Lecturer</w:t>
      </w:r>
      <w:r>
        <w:t xml:space="preserve"> </w:t>
      </w:r>
      <w:r>
        <w:t xml:space="preserve">is now expected to facilitate learning rather than simply dictate it. This shift requires significant adaptation in teaching methods, moving away from rote memorization toward seminar-style discussions, project-based learning, and interactive digital platforms.</w:t>
      </w:r>
      <w:r>
        <w:t xml:space="preserve"> </w:t>
      </w:r>
      <w:r>
        <w:t xml:space="preserve">Furthermore, the integration of technology has become imperative for the</w:t>
      </w:r>
      <w:r>
        <w:t xml:space="preserve"> </w:t>
      </w:r>
      <w:r>
        <w:rPr>
          <w:bCs/>
          <w:b/>
        </w:rPr>
        <w:t xml:space="preserve">University Lecturer</w:t>
      </w:r>
      <w:r>
        <w:t xml:space="preserve">. In</w:t>
      </w:r>
      <w:r>
        <w:t xml:space="preserve"> </w:t>
      </w:r>
      <w:r>
        <w:rPr>
          <w:bCs/>
          <w:b/>
        </w:rPr>
        <w:t xml:space="preserve">China Beijing</w:t>
      </w:r>
      <w:r>
        <w:t xml:space="preserve">, where digital infrastructure is among the most advanced globally, lecturers are expected to utilize big data analytics to monitor student progress and employ artificial intelligence tools to personalize education. The failure of a</w:t>
      </w:r>
      <w:r>
        <w:t xml:space="preserve"> </w:t>
      </w:r>
      <w:r>
        <w:rPr>
          <w:bCs/>
          <w:b/>
        </w:rPr>
        <w:t xml:space="preserve">University Lecturer to adapt to these technological demands can result in professional stagnation, highlighting the necessity for continuous professional development. Thus, the</w:t>
      </w:r>
      <w:r>
        <w:rPr>
          <w:bCs/>
          <w:b/>
        </w:rPr>
        <w:t xml:space="preserve"> </w:t>
      </w:r>
      <w:r>
        <w:rPr>
          <w:bCs/>
          <w:b/>
          <w:bCs/>
          <w:b/>
        </w:rPr>
        <w:t xml:space="preserve">University Lecturer</w:t>
      </w:r>
      <w:r>
        <w:rPr>
          <w:bCs/>
          <w:b/>
        </w:rPr>
        <w:t xml:space="preserve"> </w:t>
      </w:r>
      <w:r>
        <w:rPr>
          <w:bCs/>
          <w:b/>
        </w:rPr>
        <w:t xml:space="preserve">is no longer just an educator but also a technologist and innovator in curriculum design.</w:t>
      </w:r>
    </w:p>
    <w:bookmarkEnd w:id="21"/>
    <w:bookmarkStart w:id="22" w:name="X7fce835196942000c0685cf4355c47c29cf1a22"/>
    <w:p>
      <w:pPr>
        <w:pStyle w:val="Heading2"/>
      </w:pPr>
      <w:r>
        <w:t xml:space="preserve">III. Research Output and Global Competitiveness</w:t>
      </w:r>
    </w:p>
    <w:p>
      <w:pPr>
        <w:pStyle w:val="FirstParagraph"/>
      </w:pPr>
      <w:r>
        <w:t xml:space="preserve">In</w:t>
      </w:r>
      <w:r>
        <w:t xml:space="preserve"> </w:t>
      </w:r>
      <w:r>
        <w:rPr>
          <w:bCs/>
          <w:b/>
        </w:rPr>
        <w:t xml:space="preserve">China Beijing</w:t>
      </w:r>
      <w:r>
        <w:t xml:space="preserve">, academic promotion is heavily dependent on research productivity. The evaluation metrics for the</w:t>
      </w:r>
      <w:r>
        <w:t xml:space="preserve"> </w:t>
      </w:r>
      <w:r>
        <w:rPr>
          <w:bCs/>
          <w:b/>
        </w:rPr>
        <w:t xml:space="preserve">University Lecturer</w:t>
      </w:r>
      <w:r>
        <w:t xml:space="preserve">University LecturerChina Beijing, securing research grants is not only a matter of career advancement but also a contribution to national strategic goals.</w:t>
      </w:r>
      <w:r>
        <w:t xml:space="preserve"> </w:t>
      </w:r>
      <w:r>
        <w:t xml:space="preserve">However, this focus on quantitative output has sparked debates within the academic community regarding the quality versus quantity of research. The modern</w:t>
      </w:r>
      <w:r>
        <w:t xml:space="preserve"> </w:t>
      </w:r>
      <w:r>
        <w:rPr>
          <w:bCs/>
          <w:b/>
        </w:rPr>
        <w:t xml:space="preserve">University Lecturer</w:t>
      </w:r>
      <w:r>
        <w:t xml:space="preserve"> </w:t>
      </w:r>
      <w:r>
        <w:t xml:space="preserve">in</w:t>
      </w:r>
      <w:r>
        <w:t xml:space="preserve"> </w:t>
      </w:r>
      <w:r>
        <w:rPr>
          <w:bCs/>
          <w:b/>
        </w:rPr>
        <w:t xml:space="preserve">China Beijing</w:t>
      </w:r>
      <w:r>
        <w:t xml:space="preserve">University LecturerIV. Cultural and Ideological Responsibilities</w:t>
      </w:r>
    </w:p>
    <w:p>
      <w:pPr>
        <w:pStyle w:val="BodyText"/>
      </w:pPr>
      <w:r>
        <w:t xml:space="preserve">A distinctive aspect of being a</w:t>
      </w:r>
      <w:r>
        <w:t xml:space="preserve"> </w:t>
      </w:r>
      <w:r>
        <w:rPr>
          <w:bCs/>
          <w:b/>
        </w:rPr>
        <w:t xml:space="preserve">University LecturerChina BeijingUniversity Lecturer, this means carefully curating course content to align with broader societal values while maintaining academic integrity. This aspect of the role is particularly challenging for foreign or internationally trained lecturers who must navigate cultural nuances with sensitivity and precision.</w:t>
      </w:r>
      <w:r>
        <w:rPr>
          <w:bCs/>
          <w:b/>
        </w:rPr>
        <w:t xml:space="preserve"> </w:t>
      </w:r>
      <w:r>
        <w:rPr>
          <w:bCs/>
          <w:b/>
        </w:rPr>
        <w:t xml:space="preserve">Moreover, the</w:t>
      </w:r>
      <w:r>
        <w:rPr>
          <w:bCs/>
          <w:b/>
        </w:rPr>
        <w:t xml:space="preserve"> </w:t>
      </w:r>
      <w:r>
        <w:rPr>
          <w:bCs/>
          <w:b/>
          <w:bCs/>
          <w:b/>
        </w:rPr>
        <w:t xml:space="preserve">University LecturerChina Beijing’s increasingly internationalized campuses. They are often tasked with mentoring international students and facilitating cross-cultural dialogue. In this capacity, the lecturer embodies the soft power of Chinese education, showcasing local traditions and contemporary developments to a global audience. This dual role reinforces the identity of the</w:t>
      </w:r>
      <w:r>
        <w:rPr>
          <w:bCs/>
          <w:b/>
          <w:bCs/>
          <w:b/>
        </w:rPr>
        <w:t xml:space="preserve"> </w:t>
      </w:r>
      <w:r>
        <w:rPr>
          <w:bCs/>
          <w:b/>
          <w:bCs/>
          <w:b/>
          <w:bCs/>
          <w:b/>
        </w:rPr>
        <w:t xml:space="preserve">University Lecturer as both a guardian of local heritage and an emissary of global academic standards.</w:t>
      </w:r>
    </w:p>
    <w:bookmarkEnd w:id="22"/>
    <w:bookmarkStart w:id="23" w:name="v.-challenges-and-future-prospects"/>
    <w:p>
      <w:pPr>
        <w:pStyle w:val="Heading2"/>
      </w:pPr>
      <w:r>
        <w:t xml:space="preserve">V. Challenges and Future Prospects</w:t>
      </w:r>
    </w:p>
    <w:p>
      <w:pPr>
        <w:pStyle w:val="FirstParagraph"/>
      </w:pPr>
      <w:r>
        <w:t xml:space="preserve">Despite the advancements,</w:t>
      </w:r>
      <w:r>
        <w:t xml:space="preserve"> </w:t>
      </w:r>
      <w:r>
        <w:rPr>
          <w:bCs/>
          <w:b/>
        </w:rPr>
        <w:t xml:space="preserve">University LecturersChina BeijingChina Beijing are likely to focus on improving work-life balance for academic staff, recognizing that sustainable productivity requires institutional care and mental health support.</w:t>
      </w:r>
      <w:r>
        <w:rPr>
          <w:bCs/>
          <w:b/>
        </w:rPr>
        <w:t xml:space="preserve"> </w:t>
      </w:r>
      <w:r>
        <w:rPr>
          <w:bCs/>
          <w:b/>
        </w:rPr>
        <w:t xml:space="preserve">Additionally, the rise of online education post-pandemic has permanently altered the landscape for the</w:t>
      </w:r>
      <w:r>
        <w:rPr>
          <w:bCs/>
          <w:b/>
        </w:rPr>
        <w:t xml:space="preserve"> </w:t>
      </w:r>
      <w:r>
        <w:rPr>
          <w:bCs/>
          <w:b/>
          <w:bCs/>
          <w:b/>
        </w:rPr>
        <w:t xml:space="preserve">University Lecturer. Hybrid teaching models require new skill sets in digital pedagogy, a challenge that many established faculty members have had to overcome rapidly. Looking ahead, the definition of a successful</w:t>
      </w:r>
      <w:r>
        <w:rPr>
          <w:bCs/>
          <w:b/>
          <w:bCs/>
          <w:b/>
        </w:rPr>
        <w:t xml:space="preserve"> </w:t>
      </w:r>
      <w:r>
        <w:rPr>
          <w:bCs/>
          <w:b/>
          <w:bCs/>
          <w:b/>
          <w:bCs/>
          <w:b/>
        </w:rPr>
        <w:t xml:space="preserve">University Lecturer in</w:t>
      </w:r>
      <w:r>
        <w:rPr>
          <w:bCs/>
          <w:b/>
          <w:bCs/>
          <w:b/>
          <w:bCs/>
          <w:b/>
        </w:rPr>
        <w:t xml:space="preserve"> </w:t>
      </w:r>
      <w:r>
        <w:rPr>
          <w:bCs/>
          <w:b/>
          <w:bCs/>
          <w:b/>
          <w:bCs/>
          <w:b/>
          <w:bCs/>
          <w:b/>
        </w:rPr>
        <w:t xml:space="preserve">China Beijing will likely expand to include competencies in lifelong learning leadership and ethical AI usage.</w:t>
      </w:r>
    </w:p>
    <w:bookmarkEnd w:id="23"/>
    <w:bookmarkStart w:id="24" w:name="vi.-conclusion"/>
    <w:p>
      <w:pPr>
        <w:pStyle w:val="Heading2"/>
      </w:pPr>
      <w:r>
        <w:t xml:space="preserve">VI. Conclusion</w:t>
      </w:r>
    </w:p>
    <w:p>
      <w:pPr>
        <w:pStyle w:val="FirstParagraph"/>
      </w:pPr>
      <w:r>
        <w:t xml:space="preserve">In conclusion, the role of the</w:t>
      </w:r>
      <w:r>
        <w:t xml:space="preserve"> </w:t>
      </w:r>
      <w:r>
        <w:rPr>
          <w:bCs/>
          <w:b/>
        </w:rPr>
        <w:t xml:space="preserve">University LecturerChina BeijingUniversity Lecturer will remain a critical indicator of the health and direction of Chinese higher education. Supporting these academics through equitable policies, comprehensive training, and robust infrastructure is essential for sustaining the momentum of academic excellence in this vital region.</w:t>
      </w:r>
    </w:p>
    <w:p>
      <w:pPr>
        <w:pStyle w:val="BodyText"/>
      </w:pPr>
      <w:r>
        <w:rPr>
          <w:iCs/>
          <w:i/>
        </w:rPr>
        <w:t xml:space="preserve">Note: This term paper highlights the specific contextual factors influencing academic roles within Beijing's higher education sector.</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University Lecturer in China Beijing</dc:title>
  <dc:creator/>
  <dc:language>en</dc:language>
  <cp:keywords/>
  <dcterms:created xsi:type="dcterms:W3CDTF">2026-07-30T06:43:30Z</dcterms:created>
  <dcterms:modified xsi:type="dcterms:W3CDTF">2026-07-30T06:43:30Z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