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f5bef4ee05bdbbd99a1c76ddfccfae2be06424"/>
    <w:p>
      <w:pPr>
        <w:pStyle w:val="Heading1"/>
      </w:pPr>
      <w:r>
        <w:t xml:space="preserve">The Evolving Role of the University Lecturer in New Zealand Wellington</w:t>
      </w:r>
    </w:p>
    <w:p>
      <w:pPr>
        <w:pStyle w:val="FirstParagraph"/>
      </w:pPr>
      <w:r>
        <w:t xml:space="preserve">A Term Paper Examination of Academic Practice, Cultural Responsiveness, and Regional Identity</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Wellington Academic Studies Group</w:t>
      </w:r>
      <w:r>
        <w:br/>
      </w:r>
      <w:r>
        <w:rPr>
          <w:bCs/>
          <w:b/>
        </w:rPr>
        <w:t xml:space="preserve">Type:</w:t>
      </w:r>
      <w:r>
        <w:t xml:space="preserve"> </w:t>
      </w:r>
      <w:r>
        <w:t xml:space="preserve">Term Paper</w:t>
      </w:r>
    </w:p>
    <w:bookmarkStart w:id="20" w:name="X9dc576d0fcd55acc6dbaa8873854bfd5c5819f6"/>
    <w:p>
      <w:pPr>
        <w:pStyle w:val="Heading2"/>
      </w:pPr>
      <w:r>
        <w:t xml:space="preserve">I. Introduction: The Academic Landscape of New Zealand Wellington</w:t>
      </w:r>
    </w:p>
    <w:p>
      <w:pPr>
        <w:pStyle w:val="FirstParagraph"/>
      </w:pPr>
      <w:r>
        <w:t xml:space="preserve">The role of the University Lecturer is undergoing a profound transformation in the twenty-first century, characterized by shifting pedagogical paradigms, increased administrative burdens, and an urgent imperative toward cultural inclusivity. Nowhere is this tension more palpable than in</w:t>
      </w:r>
      <w:r>
        <w:t xml:space="preserve"> </w:t>
      </w:r>
      <w:r>
        <w:rPr>
          <w:bCs/>
          <w:b/>
        </w:rPr>
        <w:t xml:space="preserve">New Zealand Wellington</w:t>
      </w:r>
      <w:r>
        <w:t xml:space="preserve">, a city that serves as both the political heart of the nation and a vibrant hub for higher education. As the capital city, Wellington hosts some of New Zealand’s most prestigious institutions, including Victoria University of Wellington and Massey University’s campus presence. Consequently, the context for academic work in</w:t>
      </w:r>
      <w:r>
        <w:t xml:space="preserve"> </w:t>
      </w:r>
      <w:r>
        <w:rPr>
          <w:bCs/>
          <w:b/>
        </w:rPr>
        <w:t xml:space="preserve">New Zealand Wellington</w:t>
      </w:r>
      <w:r>
        <w:t xml:space="preserve"> </w:t>
      </w:r>
      <w:r>
        <w:t xml:space="preserve">is unique: it is a place where policy meets practice, and where the global demands of academia intersect with the specific local requirement to honor Te Tiriti o Waitangi (The Treaty of Waitangi).</w:t>
      </w:r>
    </w:p>
    <w:p>
      <w:pPr>
        <w:pStyle w:val="BodyText"/>
      </w:pPr>
      <w:r>
        <w:t xml:space="preserve">This term paper argues that the modern University Lecturer in this region cannot simply be a transmitter of knowledge. Instead, they must function as a cultural broker, a researcher-practitioner, and an advocate for student wellbeing. The specific socio-cultural fabric of</w:t>
      </w:r>
      <w:r>
        <w:t xml:space="preserve"> </w:t>
      </w:r>
      <w:r>
        <w:rPr>
          <w:bCs/>
          <w:b/>
        </w:rPr>
        <w:t xml:space="preserve">New Zealand Wellington</w:t>
      </w:r>
      <w:r>
        <w:t xml:space="preserve"> </w:t>
      </w:r>
      <w:r>
        <w:t xml:space="preserve">demands that the University Lecturer integrate Māori and Pasifika perspectives not merely as add-ons to curricula, but as foundational elements of educational delivery. By examining the triad of teaching excellence, research impact, and cultural competency, this paper delineates the multifaceted responsibilities required of a contemporary academic in this dynamic environment.</w:t>
      </w:r>
    </w:p>
    <w:bookmarkEnd w:id="20"/>
    <w:bookmarkStart w:id="21" w:name="Xf44a087a49b39b599daa79e54167cc1e4d78233"/>
    <w:p>
      <w:pPr>
        <w:pStyle w:val="Heading2"/>
      </w:pPr>
      <w:r>
        <w:t xml:space="preserve">II. Pedagogical Shifts: From Sage to Guide</w:t>
      </w:r>
    </w:p>
    <w:p>
      <w:pPr>
        <w:pStyle w:val="FirstParagraph"/>
      </w:pPr>
      <w:r>
        <w:t xml:space="preserve">The traditional model of higher education, where the</w:t>
      </w:r>
      <w:r>
        <w:t xml:space="preserve"> </w:t>
      </w:r>
      <w:r>
        <w:rPr>
          <w:bCs/>
          <w:b/>
        </w:rPr>
        <w:t xml:space="preserve">University Lecturer</w:t>
      </w:r>
      <w:r>
        <w:t xml:space="preserve"> </w:t>
      </w:r>
      <w:r>
        <w:t xml:space="preserve">stood at the front of a lecture hall dispensing facts to passive students, is rapidly becoming obsolete. In</w:t>
      </w:r>
      <w:r>
        <w:t xml:space="preserve"> </w:t>
      </w:r>
      <w:r>
        <w:rPr>
          <w:bCs/>
          <w:b/>
        </w:rPr>
        <w:t xml:space="preserve">New Zealand Wellington</w:t>
      </w:r>
      <w:r>
        <w:t xml:space="preserve">, universities are increasingly adopting student-centered learning models that emphasize critical thinking, collaboration, and problem-solving. This shift requires lecturers to move beyond content delivery and become facilitators of dialogue.</w:t>
      </w:r>
    </w:p>
    <w:p>
      <w:pPr>
        <w:pStyle w:val="BodyText"/>
      </w:pPr>
      <w:r>
        <w:t xml:space="preserve">In the context of Wellington’s diverse student population—which includes significant numbers of international students as well as local learners from varied socioeconomic backgrounds—the University Lecturer must employ inclusive pedagogies. This involves recognizing that students bring different cultural capital to the classroom. For instance, a University Lecturer might utilize group-based learning strategies that reflect collectivist values common in Pasifika cultures, thereby creating a more equitable learning environment. The challenge for the</w:t>
      </w:r>
      <w:r>
        <w:t xml:space="preserve"> </w:t>
      </w:r>
      <w:r>
        <w:rPr>
          <w:bCs/>
          <w:b/>
        </w:rPr>
        <w:t xml:space="preserve">University Lecturer</w:t>
      </w:r>
      <w:r>
        <w:t xml:space="preserve"> </w:t>
      </w:r>
      <w:r>
        <w:t xml:space="preserve">is to maintain rigorous academic standards while adapting teaching methods to suit a heterogeneous cohort.</w:t>
      </w:r>
    </w:p>
    <w:p>
      <w:pPr>
        <w:pStyle w:val="BodyText"/>
      </w:pPr>
      <w:r>
        <w:t xml:space="preserve">Furthermore, the integration of digital technologies has accelerated post-pandemic. In</w:t>
      </w:r>
      <w:r>
        <w:t xml:space="preserve"> </w:t>
      </w:r>
      <w:r>
        <w:rPr>
          <w:bCs/>
          <w:b/>
        </w:rPr>
        <w:t xml:space="preserve">New Zealand Wellington</w:t>
      </w:r>
      <w:r>
        <w:t xml:space="preserve">, institutions have invested heavily in hybrid learning infrastructure. The University Lecturer is now expected to be proficient in Learning Management Systems, virtual collaboration tools, and digital assessment methods. This technological fluency is not merely a skill but a necessity for engaging students who are increasingly accustomed to flexible, on-demand education.</w:t>
      </w:r>
    </w:p>
    <w:bookmarkEnd w:id="21"/>
    <w:bookmarkStart w:id="22" w:name="Xda7896b15f35fcd2b205f6ccc87d9292a4c4727"/>
    <w:p>
      <w:pPr>
        <w:pStyle w:val="Heading2"/>
      </w:pPr>
      <w:r>
        <w:t xml:space="preserve">III. Te Tiriti o Waitangi and Cultural Responsiveness</w:t>
      </w:r>
    </w:p>
    <w:p>
      <w:pPr>
        <w:pStyle w:val="FirstParagraph"/>
      </w:pPr>
      <w:r>
        <w:t xml:space="preserve">No discussion regarding the role of the</w:t>
      </w:r>
      <w:r>
        <w:t xml:space="preserve"> </w:t>
      </w:r>
      <w:r>
        <w:rPr>
          <w:bCs/>
          <w:b/>
        </w:rPr>
        <w:t xml:space="preserve">University Lecturer</w:t>
      </w:r>
      <w:r>
        <w:t xml:space="preserve"> </w:t>
      </w:r>
      <w:r>
        <w:t xml:space="preserve">in</w:t>
      </w:r>
      <w:r>
        <w:t xml:space="preserve"> </w:t>
      </w:r>
      <w:r>
        <w:rPr>
          <w:bCs/>
          <w:b/>
        </w:rPr>
        <w:t xml:space="preserve">New Zealand Wellington</w:t>
      </w:r>
      <w:r>
        <w:t xml:space="preserve"> </w:t>
      </w:r>
      <w:r>
        <w:t xml:space="preserve">is complete without addressing the imperative of biculturalism. As New Zealand’s founding document, Te Tiriti o Waitangi imposes a legal and ethical framework on all public institutions, including universities. For academics in the capital, this means that engaging with Māori knowledge systems (Mātauranga Māori) is not optional; it is a professional obligation.</w:t>
      </w:r>
    </w:p>
    <w:p>
      <w:pPr>
        <w:pStyle w:val="BodyText"/>
      </w:pPr>
      <w:r>
        <w:t xml:space="preserve">The University Lecturer must demonstrate cultural safety in their teaching and research practices. This involves actively decolonizing curricula by questioning Eurocentric biases and incorporating indigenous perspectives as valid epistemologies. For example, in disciplines such as health sciences, law, or environmental studies, lecturers must collaborate with Māori communities to ensure that research is conducted ethically and benefits the iwi (tribes) involved. In</w:t>
      </w:r>
      <w:r>
        <w:t xml:space="preserve"> </w:t>
      </w:r>
      <w:r>
        <w:rPr>
          <w:bCs/>
          <w:b/>
        </w:rPr>
        <w:t xml:space="preserve">New Zealand Wellington</w:t>
      </w:r>
      <w:r>
        <w:t xml:space="preserve">, where the relationship between the Crown and local iwi is highly visible and politically significant, this sensitivity is paramount.</w:t>
      </w:r>
    </w:p>
    <w:p>
      <w:pPr>
        <w:pStyle w:val="BodyText"/>
      </w:pPr>
      <w:r>
        <w:t xml:space="preserve">Mechanisms such as the "Three Rs"—Respect, Relationality, and Reciprocity—are increasingly embedded in university policies across</w:t>
      </w:r>
      <w:r>
        <w:t xml:space="preserve"> </w:t>
      </w:r>
      <w:r>
        <w:rPr>
          <w:bCs/>
          <w:b/>
        </w:rPr>
        <w:t xml:space="preserve">New Zealand Wellington</w:t>
      </w:r>
      <w:r>
        <w:t xml:space="preserve">. A University Lecturer who fails to uphold these principles risks not only failing their students but also undermining the institution’s commitment to social justice. Therefore, ongoing professional development in cultural competency is a critical component of the academic job description.</w:t>
      </w:r>
    </w:p>
    <w:bookmarkEnd w:id="22"/>
    <w:bookmarkStart w:id="23" w:name="X36f4afb08a8efcec6c3ffb35e250d45f3906518"/>
    <w:p>
      <w:pPr>
        <w:pStyle w:val="Heading2"/>
      </w:pPr>
      <w:r>
        <w:t xml:space="preserve">IV. The Research-Teaching Nexus and Community Engagement</w:t>
      </w:r>
    </w:p>
    <w:p>
      <w:pPr>
        <w:pStyle w:val="FirstParagraph"/>
      </w:pPr>
      <w:r>
        <w:t xml:space="preserve">The expectation that University Lecturers will produce high-quality research while maintaining teaching loads remains a central tension in higher education. However, in</w:t>
      </w:r>
      <w:r>
        <w:t xml:space="preserve"> </w:t>
      </w:r>
      <w:r>
        <w:rPr>
          <w:bCs/>
          <w:b/>
        </w:rPr>
        <w:t xml:space="preserve">New Zealand Wellington</w:t>
      </w:r>
      <w:r>
        <w:t xml:space="preserve">, there is a growing emphasis on "impactful" research—scholarship that contributes to solving real-world problems affecting the community. The city’s compact size and its status as the seat of government create unique opportunities for academia-policy linkages.</w:t>
      </w:r>
    </w:p>
    <w:p>
      <w:pPr>
        <w:pStyle w:val="BodyText"/>
      </w:pPr>
      <w:r>
        <w:t xml:space="preserve">A University Lecturer in this region is often expected to engage with external stakeholders, including government agencies, non-profit organizations, and industry partners. This engagement enhances the relevance of their teaching, providing students with case studies drawn from live projects. For instance, a lecturer in public policy might collaborate directly with Wellington-based NGOs to design course modules that address current social issues like housing affordability or climate resilience.</w:t>
      </w:r>
    </w:p>
    <w:p>
      <w:pPr>
        <w:pStyle w:val="BodyText"/>
      </w:pPr>
      <w:r>
        <w:t xml:space="preserve">This model of engaged scholarship benefits all parties: the community gains access to expert analysis, the University Lecturer secures funding and relevance for their research, and students gain practical insights. However, it requires lecturers to balance commercial or societal pressures with academic independence. The role thus expands from scholar to community partner.</w:t>
      </w:r>
    </w:p>
    <w:bookmarkEnd w:id="23"/>
    <w:bookmarkStart w:id="24" w:name="Xd01c7bec0f0b854d5c4aee70d4a44dfa6638518"/>
    <w:p>
      <w:pPr>
        <w:pStyle w:val="Heading2"/>
      </w:pPr>
      <w:r>
        <w:t xml:space="preserve">V. Wellbeing and Professional Sustainability</w:t>
      </w:r>
    </w:p>
    <w:p>
      <w:pPr>
        <w:pStyle w:val="FirstParagraph"/>
      </w:pPr>
      <w:r>
        <w:t xml:space="preserve">The mental health of the academic workforce is a critical concern globally, but it is particularly acute in the competitive environment of</w:t>
      </w:r>
      <w:r>
        <w:t xml:space="preserve"> </w:t>
      </w:r>
      <w:r>
        <w:rPr>
          <w:bCs/>
          <w:b/>
        </w:rPr>
        <w:t xml:space="preserve">New Zealand Wellington</w:t>
      </w:r>
      <w:r>
        <w:t xml:space="preserve">. University Lecturers often face job insecurity through fixed-term contracts, high workloads, and the pressure to publish. This "publish or perish" culture can lead to burnout and attrition among early-career academics.</w:t>
      </w:r>
    </w:p>
    <w:p>
      <w:pPr>
        <w:pStyle w:val="BodyText"/>
      </w:pPr>
      <w:r>
        <w:t xml:space="preserve">Institutions in</w:t>
      </w:r>
      <w:r>
        <w:t xml:space="preserve"> </w:t>
      </w:r>
      <w:r>
        <w:rPr>
          <w:bCs/>
          <w:b/>
        </w:rPr>
        <w:t xml:space="preserve">New Zealand Wellington</w:t>
      </w:r>
      <w:r>
        <w:t xml:space="preserve"> </w:t>
      </w:r>
      <w:r>
        <w:t xml:space="preserve">are increasingly recognizing the need to support staff wellbeing. Mentorship programs, counseling services, and realistic workload allocations are becoming standard parts of academic employment contracts. The University Lecturer must also advocate for their own health and model healthy boundaries for students. By prioritizing wellbeing, lecturers ensure the sustainability of their career and enhance their capacity to teach effectively.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New Zealand Wellington</w:t>
      </w:r>
      <w:r>
        <w:t xml:space="preserve"> </w:t>
      </w:r>
      <w:r>
        <w:t xml:space="preserve">is complex, dynamic, and deeply contextual. It is no longer sufficient to be an expert in one’s discipline; one must also be a culturally responsive educator, a community-engaged researcher, and a steward of student wellbeing. The unique position of</w:t>
      </w:r>
      <w:r>
        <w:t xml:space="preserve"> </w:t>
      </w:r>
      <w:r>
        <w:rPr>
          <w:bCs/>
          <w:b/>
        </w:rPr>
        <w:t xml:space="preserve">New Zealand Wellington</w:t>
      </w:r>
      <w:r>
        <w:t xml:space="preserve"> </w:t>
      </w:r>
      <w:r>
        <w:t xml:space="preserve">as the political and cultural center of Aotearoa New Zealand places additional responsibilities on academics to honor Te Tiriti o Waitangi and foster inclusive environments.</w:t>
      </w:r>
    </w:p>
    <w:p>
      <w:pPr>
        <w:pStyle w:val="BodyText"/>
      </w:pPr>
      <w:r>
        <w:t xml:space="preserve">As the higher education sector continues to evolve, those who succeed in</w:t>
      </w:r>
      <w:r>
        <w:t xml:space="preserve"> </w:t>
      </w:r>
      <w:r>
        <w:rPr>
          <w:bCs/>
          <w:b/>
        </w:rPr>
        <w:t xml:space="preserve">New Zealand Wellington</w:t>
      </w:r>
      <w:r>
        <w:t xml:space="preserve"> </w:t>
      </w:r>
      <w:r>
        <w:t xml:space="preserve">will be those who can navigate these multiple roles with agility and integrity. The future of academic excellence in this region depends on lecturers who are not only scholars but also empathetic leaders committed to social equity and intellectual rigor.</w:t>
      </w:r>
    </w:p>
    <w:p>
      <w:pPr>
        <w:pStyle w:val="BodyText"/>
      </w:pPr>
      <w:r>
        <w:rPr>
          <w:iCs/>
          <w:i/>
        </w:rPr>
        <w:t xml:space="preserve">This document serves as a comprehensive overview for educational purposes within the context of New Zealand Wellington higher education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University Lecturer in New Zealand Wellington</dc:title>
  <dc:creator/>
  <cp:keywords/>
  <dcterms:created xsi:type="dcterms:W3CDTF">2026-07-29T19:20:29Z</dcterms:created>
  <dcterms:modified xsi:type="dcterms:W3CDTF">2026-07-29T19:20:29Z</dcterms:modified>
</cp:coreProperties>
</file>

<file path=docProps/custom.xml><?xml version="1.0" encoding="utf-8"?>
<Properties xmlns="http://schemas.openxmlformats.org/officeDocument/2006/custom-properties" xmlns:vt="http://schemas.openxmlformats.org/officeDocument/2006/docPropsVTypes"/>
</file>