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Veterinarian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20" w:name="X5bc77e8db614f678a91133265a84b06c3601ee9"/>
    <w:p>
      <w:pPr>
        <w:pStyle w:val="Heading1"/>
      </w:pPr>
      <w:r>
        <w:t xml:space="preserve">A Comprehensive Analysis of Veterinary Medicine in Kenya Nairobi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Bridging Public Health, Economy, and Animal Welfare: The Critical Role of the Veterinarian in Kenya Nairobi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October 24, 2023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and Evolution of the Veterinarian in Kenya Nairobi</dc:title>
  <dc:creator/>
  <dc:language>en</dc:language>
  <cp:keywords/>
  <dcterms:created xsi:type="dcterms:W3CDTF">2026-09-27T15:40:50Z</dcterms:created>
  <dcterms:modified xsi:type="dcterms:W3CDTF">2026-09-27T15:40:50Z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