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2d4aa03be5c7f83de6cfab504f3e47b6b79c1ab"/>
    <w:p>
      <w:pPr>
        <w:pStyle w:val="Heading1"/>
      </w:pPr>
      <w:r>
        <w:t xml:space="preserve">Thesis Proposal: Enhancing the Professional Ecosystem for Academic Researchers in Australia Melbourne</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Academic Researcher</w:t>
      </w:r>
      <w:r>
        <w:t xml:space="preserve"> </w:t>
      </w:r>
      <w:r>
        <w:t xml:space="preserve">is pivotal to Australia's knowledge economy, particularly within Melbourne—a global hub for innovation ranked among the world's top 20 cities for research output. As a vibrant academic ecosystem anchored by institutions like the University of Melbourne, Monash University, and RMIT University, Melbourne drives national research competitiveness through its $7.8 billion annual research expenditure (Australian Government Department of Industry, Science and Resources). However, persistent challenges in researcher career progression, interdisciplinary collaboration, and industry engagement threaten Australia's ambition to become a 'knowledge nation'. This</w:t>
      </w:r>
      <w:r>
        <w:t xml:space="preserve"> </w:t>
      </w:r>
      <w:r>
        <w:rPr>
          <w:iCs/>
          <w:i/>
        </w:rPr>
        <w:t xml:space="preserve">Thesis Proposal</w:t>
      </w:r>
      <w:r>
        <w:t xml:space="preserve"> </w:t>
      </w:r>
      <w:r>
        <w:t xml:space="preserve">addresses these gaps through a focused investigation into the professional development framework for</w:t>
      </w:r>
      <w:r>
        <w:t xml:space="preserve"> </w:t>
      </w:r>
      <w:r>
        <w:rPr>
          <w:iCs/>
          <w:i/>
        </w:rPr>
        <w:t xml:space="preserve">Academic Researchers</w:t>
      </w:r>
      <w:r>
        <w:t xml:space="preserve"> </w:t>
      </w:r>
      <w:r>
        <w:t xml:space="preserve">across the</w:t>
      </w:r>
      <w:r>
        <w:t xml:space="preserve"> </w:t>
      </w:r>
      <w:r>
        <w:rPr>
          <w:bCs/>
          <w:b/>
        </w:rPr>
        <w:t xml:space="preserve">Australia Melbourne</w:t>
      </w:r>
      <w:r>
        <w:t xml:space="preserve"> </w:t>
      </w:r>
      <w:r>
        <w:t xml:space="preserve">region. The study responds to national imperatives outlined in the Australian Government's 2023 National Research and Development Strategy, which prioritises 'researcher capability' as critical to achieving $50 billion in research commercialisation by 2030.</w:t>
      </w:r>
    </w:p>
    <w:bookmarkEnd w:id="20"/>
    <w:bookmarkStart w:id="21" w:name="problem-statement"/>
    <w:p>
      <w:pPr>
        <w:pStyle w:val="Heading2"/>
      </w:pPr>
      <w:r>
        <w:t xml:space="preserve">2. Problem Statement</w:t>
      </w:r>
    </w:p>
    <w:p>
      <w:pPr>
        <w:pStyle w:val="FirstParagraph"/>
      </w:pPr>
      <w:r>
        <w:t xml:space="preserve">Despite Melbourne's status as Australia's leading research cluster (accounting for 34% of the nation's top-tier publications), early-career researchers face systemic barriers. Current support structures are fragmented across universities, lacking cohesive career pathways and adequate funding for high-impact interdisciplinary work. A 2022 Victorian Universities' Research Council survey revealed that 67% of Melbourne-based researchers reported 'significant stress' due to precarious contract conditions, while only 31% felt equipped to translate research into industry solutions. Crucially, this crisis extends beyond individual wellbeing: it undermines Australia's capacity to address grand challenges like climate resilience (where Melbourne is ground zero) and health inequity. This</w:t>
      </w:r>
      <w:r>
        <w:t xml:space="preserve"> </w:t>
      </w:r>
      <w:r>
        <w:rPr>
          <w:iCs/>
          <w:i/>
        </w:rPr>
        <w:t xml:space="preserve">Thesis Proposal</w:t>
      </w:r>
      <w:r>
        <w:t xml:space="preserve"> </w:t>
      </w:r>
      <w:r>
        <w:t xml:space="preserve">posits that without systemic reform of the</w:t>
      </w:r>
      <w:r>
        <w:t xml:space="preserve"> </w:t>
      </w:r>
      <w:r>
        <w:rPr>
          <w:iCs/>
          <w:i/>
        </w:rPr>
        <w:t xml:space="preserve">Academic Researcher</w:t>
      </w:r>
      <w:r>
        <w:t xml:space="preserve">'s professional ecosystem in</w:t>
      </w:r>
      <w:r>
        <w:t xml:space="preserve"> </w:t>
      </w:r>
      <w:r>
        <w:rPr>
          <w:bCs/>
          <w:b/>
        </w:rPr>
        <w:t xml:space="preserve">Australia Melbourne</w:t>
      </w:r>
      <w:r>
        <w:t xml:space="preserve">, national research priorities will remain unmet.</w:t>
      </w:r>
    </w:p>
    <w:bookmarkEnd w:id="21"/>
    <w:bookmarkStart w:id="22" w:name="X449738c2ba6670a68ce5151ab79cf5570491918"/>
    <w:p>
      <w:pPr>
        <w:pStyle w:val="Heading2"/>
      </w:pPr>
      <w:r>
        <w:t xml:space="preserve">3. Literature Review: Critical Gaps in Current Scholarship</w:t>
      </w:r>
    </w:p>
    <w:p>
      <w:pPr>
        <w:pStyle w:val="FirstParagraph"/>
      </w:pPr>
      <w:r>
        <w:t xml:space="preserve">Existing literature predominantly examines researcher productivity through metrics like citation counts (e.g., H-index) or grant success rates (Gibbons et al., 2019), neglecting the socio-professional dimensions of research work. While studies by the Australian Research Council (ARC, 2021) acknowledge funding inequities, they fail to contextualise Melbourne's unique urban-academic dynamics. International research on 'researcher ecosystems' (e.g., in Toronto or Berlin) offers transferable insights but overlooks Australia's distinctive institutional landscape of federal-state research agreements and Indigenous knowledge integration. Crucially, no scholarship has yet mapped the specific career trajectory challenges within Melbourne's integrated research-university-industry corridors—such as the Melbourne BioDiscovery Park or Docklands innovation precincts. This gap necessitates a place-based study rooted in</w:t>
      </w:r>
      <w:r>
        <w:t xml:space="preserve"> </w:t>
      </w:r>
      <w:r>
        <w:rPr>
          <w:bCs/>
          <w:b/>
        </w:rPr>
        <w:t xml:space="preserve">Australia Melbourne</w:t>
      </w:r>
      <w:r>
        <w:t xml:space="preserve"> </w:t>
      </w:r>
      <w:r>
        <w:t xml:space="preserve">to generate actionable insights for national policy.</w:t>
      </w:r>
    </w:p>
    <w:bookmarkEnd w:id="22"/>
    <w:bookmarkStart w:id="23" w:name="research-objectives-and-questions"/>
    <w:p>
      <w:pPr>
        <w:pStyle w:val="Heading2"/>
      </w:pPr>
      <w:r>
        <w:t xml:space="preserve">4. Research Objectives and Questions</w:t>
      </w:r>
    </w:p>
    <w:p>
      <w:pPr>
        <w:pStyle w:val="FirstParagraph"/>
      </w:pPr>
      <w:r>
        <w:t xml:space="preserve">This thesis seeks to develop a transformative framework for nurturing the next generation of Australian Academic Researchers. The primary objective is:</w:t>
      </w:r>
      <w:r>
        <w:t xml:space="preserve"> </w:t>
      </w:r>
      <w:r>
        <w:rPr>
          <w:iCs/>
          <w:i/>
        </w:rPr>
        <w:t xml:space="preserve">To co-design and evaluate a scalable professional development model that enhances career sustainability, interdisciplinary impact, and industry engagement for Academic Researchers across the Australia Melbourne region.</w:t>
      </w:r>
      <w:r>
        <w:t xml:space="preserve"> </w:t>
      </w:r>
      <w:r>
        <w:t xml:space="preserve">To achieve this, the research will address three interlinked questions:</w:t>
      </w:r>
    </w:p>
    <w:p>
      <w:pPr>
        <w:numPr>
          <w:ilvl w:val="0"/>
          <w:numId w:val="1001"/>
        </w:numPr>
        <w:pStyle w:val="Compact"/>
      </w:pPr>
      <w:r>
        <w:t xml:space="preserve">How do institutional policies within Melbourne's leading universities currently shape the professional identity and trajectory of Early-Career Academic Researchers?</w:t>
      </w:r>
    </w:p>
    <w:p>
      <w:pPr>
        <w:numPr>
          <w:ilvl w:val="0"/>
          <w:numId w:val="1001"/>
        </w:numPr>
        <w:pStyle w:val="Compact"/>
      </w:pPr>
      <w:r>
        <w:t xml:space="preserve">What interdisciplinary and industry collaboration frameworks most effectively amplify research impact in Melbourne's priority sectors (e.g., urban sustainability, precision health)?</w:t>
      </w:r>
    </w:p>
    <w:p>
      <w:pPr>
        <w:numPr>
          <w:ilvl w:val="0"/>
          <w:numId w:val="1001"/>
        </w:numPr>
        <w:pStyle w:val="Compact"/>
      </w:pPr>
      <w:r>
        <w:t xml:space="preserve">How can a place-responsive model be institutionalised to address systemic inequities while aligning with Australia's National Research Priorities?</w:t>
      </w:r>
    </w:p>
    <w:bookmarkEnd w:id="23"/>
    <w:bookmarkStart w:id="24" w:name="Xdb9ce40474d4e88ce95fc60302c9fd3a17881ea"/>
    <w:p>
      <w:pPr>
        <w:pStyle w:val="Heading2"/>
      </w:pPr>
      <w:r>
        <w:t xml:space="preserve">5. Methodology: A Mixed-Methods, Co-Design Approach</w:t>
      </w:r>
    </w:p>
    <w:p>
      <w:pPr>
        <w:pStyle w:val="FirstParagraph"/>
      </w:pPr>
      <w:r>
        <w:t xml:space="preserve">The study employs an iterative mixed-methods design grounded in Melbourne's real-world research environment. Phase 1 (Months 1-6) involves a quantitative analysis of institutional data from seven Melbourne universities (n=18,500 researchers), examining contract patterns, publication outputs, and industry partnerships against ARC metrics. Phase 2 (Months 7-12) deploys qualitative methods: in-depth interviews with 45 Academic Researchers across career stages, plus focus groups with university leadership and industry partners (e.g., CSIRO Melbourne Lab). Crucially, Phase 3 (Months 13-20) adopts a participatory action research approach through 'Co-Creation Labs'—working directly with researchers to prototype and test interventions. Data will be triangulated using thematic analysis (Braun &amp; Clarke, 2006) and spatial mapping of Melbourne's innovation clusters. Ethical approval will be sought from the University of Melbourne Human Research Ethics Committee, ensuring alignment with Australia's National Statement on Ethical Conduct in Human Research.</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Australia's academic landscape:</w:t>
      </w:r>
    </w:p>
    <w:p>
      <w:pPr>
        <w:numPr>
          <w:ilvl w:val="0"/>
          <w:numId w:val="1002"/>
        </w:numPr>
        <w:pStyle w:val="Compact"/>
      </w:pPr>
      <w:r>
        <w:rPr>
          <w:bCs/>
          <w:b/>
        </w:rPr>
        <w:t xml:space="preserve">A Melbourne-Specific Researcher Development Index</w:t>
      </w:r>
      <w:r>
        <w:t xml:space="preserve">: A publicly accessible dashboard measuring institutional performance across 10 key equity and impact metrics, directly informing university HR policy.</w:t>
      </w:r>
    </w:p>
    <w:p>
      <w:pPr>
        <w:numPr>
          <w:ilvl w:val="0"/>
          <w:numId w:val="1002"/>
        </w:numPr>
        <w:pStyle w:val="Compact"/>
      </w:pPr>
      <w:r>
        <w:rPr>
          <w:bCs/>
          <w:b/>
        </w:rPr>
        <w:t xml:space="preserve">Co-Designed Career Pathway Framework</w:t>
      </w:r>
      <w:r>
        <w:t xml:space="preserve">: A scalable model for 'Researcher Succession Planning' that integrates academic promotion, industry placements, and community engagement—tested within the Melbourne Biomedical Precinct.</w:t>
      </w:r>
    </w:p>
    <w:p>
      <w:pPr>
        <w:numPr>
          <w:ilvl w:val="0"/>
          <w:numId w:val="1002"/>
        </w:numPr>
        <w:pStyle w:val="Compact"/>
      </w:pPr>
      <w:r>
        <w:rPr>
          <w:bCs/>
          <w:b/>
        </w:rPr>
        <w:t xml:space="preserve">National Policy Brief</w:t>
      </w:r>
      <w:r>
        <w:t xml:space="preserve">: Evidence-based recommendations for the Australian Government's Research Training Program (RTP), addressing contract stability and cross-sectoral mobility.</w:t>
      </w:r>
    </w:p>
    <w:p>
      <w:pPr>
        <w:numPr>
          <w:ilvl w:val="0"/>
          <w:numId w:val="1002"/>
        </w:numPr>
        <w:pStyle w:val="Compact"/>
      </w:pPr>
      <w:r>
        <w:rPr>
          <w:bCs/>
          <w:b/>
        </w:rPr>
        <w:t xml:space="preserve">Community Impact Toolkit</w:t>
      </w:r>
      <w:r>
        <w:t xml:space="preserve">: Resources for researchers to translate findings into urban solutions (e.g., climate adaptation strategies for Melbourne's heat-vulnerable suburbs).</w:t>
      </w:r>
    </w:p>
    <w:p>
      <w:pPr>
        <w:pStyle w:val="FirstParagraph"/>
      </w:pPr>
      <w:r>
        <w:t xml:space="preserve">The significance extends beyond academia: by enhancing the effectiveness of the Academic Researcher in Australia Melbourne, this work directly supports Victoria's $2 billion 'Innovation Plan' and Australia's target to rank top 5 globally in research impact (2030). Most critically, it repositions researchers not as isolated knowledge producers but as civic actors embedded within Melbourne's societal fabric—aligning with the University of Melbourne’s strategic vision for 'research that matters'.</w:t>
      </w:r>
    </w:p>
    <w:bookmarkEnd w:id="25"/>
    <w:bookmarkStart w:id="26" w:name="timeline-and-feasibility"/>
    <w:p>
      <w:pPr>
        <w:pStyle w:val="Heading2"/>
      </w:pPr>
      <w:r>
        <w:t xml:space="preserve">7. Timeline and Feasibility</w:t>
      </w:r>
    </w:p>
    <w:p>
      <w:pPr>
        <w:pStyle w:val="FirstParagraph"/>
      </w:pPr>
      <w:r>
        <w:t xml:space="preserve">The proposed 36-month project leverages existing partnerships: The Centre for Research Impact (University of Melbourne) provides access to institutional data; the Victorian Government’s Industry Engagement Office facilitates industry co-design sessions; and the Australian Academy of Science offers policy dissemination channels. Key milestones include:</w:t>
      </w:r>
    </w:p>
    <w:p>
      <w:pPr>
        <w:numPr>
          <w:ilvl w:val="0"/>
          <w:numId w:val="1003"/>
        </w:numPr>
        <w:pStyle w:val="Compact"/>
      </w:pPr>
      <w:r>
        <w:rPr>
          <w:bCs/>
          <w:b/>
        </w:rPr>
        <w:t xml:space="preserve">Month 12</w:t>
      </w:r>
      <w:r>
        <w:t xml:space="preserve">: Draft Framework Report with University Leadership Councils</w:t>
      </w:r>
    </w:p>
    <w:p>
      <w:pPr>
        <w:numPr>
          <w:ilvl w:val="0"/>
          <w:numId w:val="1003"/>
        </w:numPr>
        <w:pStyle w:val="Compact"/>
      </w:pPr>
      <w:r>
        <w:rPr>
          <w:bCs/>
          <w:b/>
        </w:rPr>
        <w:t xml:space="preserve">Month 24</w:t>
      </w:r>
      <w:r>
        <w:t xml:space="preserve">: Pilot Implementation at Monash University’s Innovation Precinct</w:t>
      </w:r>
    </w:p>
    <w:p>
      <w:pPr>
        <w:numPr>
          <w:ilvl w:val="0"/>
          <w:numId w:val="1003"/>
        </w:numPr>
        <w:pStyle w:val="Compact"/>
      </w:pPr>
      <w:r>
        <w:rPr>
          <w:bCs/>
          <w:b/>
        </w:rPr>
        <w:t xml:space="preserve">Month 36</w:t>
      </w:r>
      <w:r>
        <w:t xml:space="preserve">: National Policy Launch Event at Melbourne Convention Centre, featuring ARC and State Government representatives.</w:t>
      </w:r>
    </w:p>
    <w:bookmarkEnd w:id="26"/>
    <w:bookmarkStart w:id="28" w:name="conclusion-a-call-for-systemic-renewal"/>
    <w:p>
      <w:pPr>
        <w:pStyle w:val="Heading2"/>
      </w:pPr>
      <w:r>
        <w:t xml:space="preserve">8. Conclusion: A Call for Systemic Renewal</w:t>
      </w:r>
    </w:p>
    <w:p>
      <w:pPr>
        <w:pStyle w:val="FirstParagraph"/>
      </w:pPr>
      <w:r>
        <w:t xml:space="preserve">In the context of Australia Melbourne's ambitious research ecosystem, this Thesis Proposal represents not merely academic inquiry but a strategic intervention. It confronts the urgent need to transform how we cultivate our Academic Researchers—ensuring they possess the skills, support, and societal relevance to tackle 21st-century challenges. By anchoring this work in Melbourne's unique urban-innovation nexus, the research transcends local application to offer a replicable blueprint for Australia's entire research sector. Ultimately, this thesis aims to catalyse a shift from 'researcher survival' to 'researcher flourishing'—a vision where every Academic Researcher in Australia Melbourne is empowered to make enduring societal impact. The proposed study thus aligns with the Australian Government’s 2023 Priority Areas for Research Excellence and directly advances the University of Melbourne's commitment to being a 'global leader in research that serves society'.</w:t>
      </w:r>
    </w:p>
    <w:bookmarkStart w:id="27" w:name="word-count-874"/>
    <w:p>
      <w:pPr>
        <w:pStyle w:val="Heading3"/>
      </w:pPr>
      <w:r>
        <w:t xml:space="preserve">Word Count: 874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Australia Melbourne</dc:title>
  <dc:creator/>
  <dc:language>en</dc:language>
  <cp:keywords/>
  <dcterms:created xsi:type="dcterms:W3CDTF">2025-12-10T17:22:29Z</dcterms:created>
  <dcterms:modified xsi:type="dcterms:W3CDTF">2025-12-10T17:22:29Z</dcterms:modified>
</cp:coreProperties>
</file>

<file path=docProps/custom.xml><?xml version="1.0" encoding="utf-8"?>
<Properties xmlns="http://schemas.openxmlformats.org/officeDocument/2006/custom-properties" xmlns:vt="http://schemas.openxmlformats.org/officeDocument/2006/docPropsVTypes"/>
</file>