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e024277bbba4fbf7b514d54aaf51a192a74fa83"/>
    <w:p>
      <w:pPr>
        <w:pStyle w:val="Heading1"/>
      </w:pPr>
      <w:r>
        <w:t xml:space="preserve">Thesis Proposal: Advancing the Role of the Academic Researcher in Germany's Berlin Innovation Ecosystem</w:t>
      </w:r>
    </w:p>
    <w:bookmarkStart w:id="20" w:name="introduction-and-contextual-background"/>
    <w:p>
      <w:pPr>
        <w:pStyle w:val="Heading2"/>
      </w:pPr>
      <w:r>
        <w:t xml:space="preserve">1. Introduction and Contextual Background</w:t>
      </w:r>
    </w:p>
    <w:p>
      <w:pPr>
        <w:pStyle w:val="FirstParagraph"/>
      </w:pPr>
      <w:r>
        <w:t xml:space="preserve">The evolving landscape of academic research in Germany demands rigorous examination, particularly within Berlin—a global hub for innovation and interdisciplinary scholarship. As a prospective Academic Researcher preparing to contribute to this dynamic environment, this Thesis Proposal outlines a comprehensive investigation into the structural, cultural, and institutional frameworks shaping contemporary academic careers in Germany Berlin. With Berlin hosting over 20 universities and research institutes including the prestigious Freie Universität Berlin, Humboldt-Universität zu Berlin, and Max Planck Society facilities, understanding how to optimize researcher development is critical for sustaining Germany's position as a European knowledge leader. This research directly addresses the urgent need to align academic training with industry collaboration demands while preserving scholarly independence—a tension increasingly defining Higher Education in Germany.</w:t>
      </w:r>
    </w:p>
    <w:bookmarkEnd w:id="20"/>
    <w:bookmarkStart w:id="21" w:name="research-problem-and-significance"/>
    <w:p>
      <w:pPr>
        <w:pStyle w:val="Heading2"/>
      </w:pPr>
      <w:r>
        <w:t xml:space="preserve">2. Research Problem and Significance</w:t>
      </w:r>
    </w:p>
    <w:p>
      <w:pPr>
        <w:pStyle w:val="FirstParagraph"/>
      </w:pPr>
      <w:r>
        <w:t xml:space="preserve">Despite Berlin's reputation as a magnet for international scholars, persistent challenges hinder the full potential of Academic Researchers. Key issues include fragmented career pathways, insufficient interdisciplinary training frameworks, and bureaucratic barriers between academia and Berlin's thriving startup ecosystem (e.g., BioCity Berlin, AI startups in Tiergarten). Current German funding models like DFG grants often prioritize disciplinary silos over transnational projects. This Thesis Proposal identifies a critical gap: no comprehensive study has analyzed how to systematize researcher development within Germany Berlin's unique constellation of public and private research actors. The significance is threefold: (1) it will provide evidence-based recommendations for universities in Germany Berlin to redesign postdoctoral programs; (2) it will inform national policies on the German Academic Exchange Service (DAAD); and (3) it will establish a replicable model for other European cities seeking to integrate academia with regional innovation clusters. As an Academic Researcher committed to this field, my work directly responds to Germany's 2030 Higher Education Strategy prioritizing "researcher mobility and societal impact."</w:t>
      </w:r>
    </w:p>
    <w:bookmarkEnd w:id="21"/>
    <w:bookmarkStart w:id="22" w:name="X084f7ed63554e8803cd667c9a0d8332db642db9"/>
    <w:p>
      <w:pPr>
        <w:pStyle w:val="Heading2"/>
      </w:pPr>
      <w:r>
        <w:t xml:space="preserve">3. Literature Review: Current Scholarship and Gaps</w:t>
      </w:r>
    </w:p>
    <w:p>
      <w:pPr>
        <w:pStyle w:val="FirstParagraph"/>
      </w:pPr>
      <w:r>
        <w:t xml:space="preserve">Existing scholarship on academic careers (e.g., by the German Centre for Research and Innovation, DZRW) focuses largely on quantitative metrics like publication output, neglecting qualitative dimensions of researcher well-being and collaborative capacity in Berlin-specific contexts. Studies by the Leibniz Association highlight administrative burdens but omit Berlin's unique urban advantages—such as proximity to EU institutions (European Central Bank, European Parliament) and cultural resources fostering creative problem-solving. Crucially, no research has mapped how Germany's dual-track system (public universities vs. Fraunhofer Institutes) impacts researcher adaptability in Berlin. This proposal bridges these gaps by synthesizing perspectives from organizational sociology (e.g., Etzkowitz’s Triple Helix model), regional innovation theory (Henderson &amp; Cockburn), and empirical data from Berlin's academic communities.</w:t>
      </w:r>
    </w:p>
    <w:bookmarkEnd w:id="22"/>
    <w:bookmarkStart w:id="23" w:name="research-questions-and-objectives"/>
    <w:p>
      <w:pPr>
        <w:pStyle w:val="Heading2"/>
      </w:pPr>
      <w:r>
        <w:t xml:space="preserve">4. Research Questions and Objectives</w:t>
      </w:r>
    </w:p>
    <w:p>
      <w:pPr>
        <w:pStyle w:val="FirstParagraph"/>
      </w:pPr>
      <w:r>
        <w:t xml:space="preserve">This Thesis Proposal advances four interlinked objectives:</w:t>
      </w:r>
    </w:p>
    <w:p>
      <w:pPr>
        <w:numPr>
          <w:ilvl w:val="0"/>
          <w:numId w:val="1001"/>
        </w:numPr>
        <w:pStyle w:val="Compact"/>
      </w:pPr>
      <w:r>
        <w:t xml:space="preserve">To diagnose structural barriers preventing Academic Researchers in Germany Berlin from engaging effectively with industry partners;</w:t>
      </w:r>
    </w:p>
    <w:p>
      <w:pPr>
        <w:numPr>
          <w:ilvl w:val="0"/>
          <w:numId w:val="1001"/>
        </w:numPr>
        <w:pStyle w:val="Compact"/>
      </w:pPr>
      <w:r>
        <w:t xml:space="preserve">To develop a framework for "Berlin-Integrated Researcher Training" combining disciplinary depth with innovation management skills;</w:t>
      </w:r>
    </w:p>
    <w:p>
      <w:pPr>
        <w:numPr>
          <w:ilvl w:val="0"/>
          <w:numId w:val="1001"/>
        </w:numPr>
        <w:pStyle w:val="Compact"/>
      </w:pPr>
      <w:r>
        <w:t xml:space="preserve">To assess how digital tools (e.g., Berlin's Open Science platform) can streamline collaboration across German research institutions; and</w:t>
      </w:r>
    </w:p>
    <w:p>
      <w:pPr>
        <w:numPr>
          <w:ilvl w:val="0"/>
          <w:numId w:val="1001"/>
        </w:numPr>
        <w:pStyle w:val="Compact"/>
      </w:pPr>
      <w:r>
        <w:t xml:space="preserve">To propose policy reforms for the German Federal Ministry of Education and Research (BMBF) tailored to Berlin’s ecosystem.</w:t>
      </w:r>
    </w:p>
    <w:p>
      <w:pPr>
        <w:pStyle w:val="FirstParagraph"/>
      </w:pPr>
      <w:r>
        <w:t xml:space="preserve">Central research questions include: How does Berlin’s urban infrastructure uniquely enable or constrain Academic Researchers’ societal engagement? What institutional mechanisms could transform Germany's research culture toward more agile, impact-oriented practices without compromising academic rigor?</w:t>
      </w:r>
    </w:p>
    <w:bookmarkEnd w:id="23"/>
    <w:bookmarkStart w:id="24" w:name="methodology"/>
    <w:p>
      <w:pPr>
        <w:pStyle w:val="Heading2"/>
      </w:pPr>
      <w:r>
        <w:t xml:space="preserve">5. Methodology</w:t>
      </w:r>
    </w:p>
    <w:p>
      <w:pPr>
        <w:pStyle w:val="FirstParagraph"/>
      </w:pPr>
      <w:r>
        <w:t xml:space="preserve">This mixed-methods study employs a sequential explanatory design grounded in Berlin’s context:</w:t>
      </w:r>
    </w:p>
    <w:p>
      <w:pPr>
        <w:numPr>
          <w:ilvl w:val="0"/>
          <w:numId w:val="1002"/>
        </w:numPr>
        <w:pStyle w:val="Compact"/>
      </w:pPr>
      <w:r>
        <w:rPr>
          <w:bCs/>
          <w:b/>
        </w:rPr>
        <w:t xml:space="preserve">Phase 1 (Quantitative):</w:t>
      </w:r>
      <w:r>
        <w:t xml:space="preserve"> </w:t>
      </w:r>
      <w:r>
        <w:t xml:space="preserve">Survey of 300+ Academic Researchers across Berlin institutions (via partnerships with Freie Universität and Charité), measuring variables like collaboration frequency, administrative burden, and perceived innovation impact.</w:t>
      </w:r>
    </w:p>
    <w:p>
      <w:pPr>
        <w:numPr>
          <w:ilvl w:val="0"/>
          <w:numId w:val="1002"/>
        </w:numPr>
        <w:pStyle w:val="Compact"/>
      </w:pPr>
      <w:r>
        <w:rPr>
          <w:bCs/>
          <w:b/>
        </w:rPr>
        <w:t xml:space="preserve">Phase 2 (Qualitative):</w:t>
      </w:r>
      <w:r>
        <w:t xml:space="preserve"> </w:t>
      </w:r>
      <w:r>
        <w:t xml:space="preserve">In-depth interviews with 45 stakeholders including university administrators, industry partners (e.g., Siemens Healthineers Berlin), and policy makers at the BMBF. Critical incidents analysis will explore pivotal moments in researcher career trajectories.</w:t>
      </w:r>
    </w:p>
    <w:p>
      <w:pPr>
        <w:numPr>
          <w:ilvl w:val="0"/>
          <w:numId w:val="1002"/>
        </w:numPr>
        <w:pStyle w:val="Compact"/>
      </w:pPr>
      <w:r>
        <w:rPr>
          <w:bCs/>
          <w:b/>
        </w:rPr>
        <w:t xml:space="preserve">Phase 3 (Action Research):</w:t>
      </w:r>
      <w:r>
        <w:t xml:space="preserve"> </w:t>
      </w:r>
      <w:r>
        <w:t xml:space="preserve">Co-design workshops with Berlin’s Research Council to prototype a "Researcher Agility Toolkit" incorporating findings from Phases 1–2.</w:t>
      </w:r>
    </w:p>
    <w:p>
      <w:pPr>
        <w:pStyle w:val="FirstParagraph"/>
      </w:pPr>
      <w:r>
        <w:t xml:space="preserve">Data analysis will use NVivo for qualitative coding and SPSS for statistical modeling. The study leverages Berlin’s open data initiatives (e.g., Data City Berlin) to contextualize findings within urban innovation metrics.</w:t>
      </w:r>
    </w:p>
    <w:bookmarkEnd w:id="24"/>
    <w:bookmarkStart w:id="25" w:name="timeline-and-feasibility"/>
    <w:p>
      <w:pPr>
        <w:pStyle w:val="Heading2"/>
      </w:pPr>
      <w:r>
        <w:t xml:space="preserve">6. Timeline and Feasibility</w:t>
      </w:r>
    </w:p>
    <w:p>
      <w:pPr>
        <w:pStyle w:val="FirstParagraph"/>
      </w:pPr>
      <w:r>
        <w:t xml:space="preserve">Aligned with German academic standards, the 18-month project adheres to a rigorous timeline:</w:t>
      </w:r>
    </w:p>
    <w:p>
      <w:pPr>
        <w:numPr>
          <w:ilvl w:val="0"/>
          <w:numId w:val="1003"/>
        </w:numPr>
        <w:pStyle w:val="Compact"/>
      </w:pPr>
      <w:r>
        <w:rPr>
          <w:bCs/>
          <w:b/>
        </w:rPr>
        <w:t xml:space="preserve">Months 1–3:</w:t>
      </w:r>
      <w:r>
        <w:t xml:space="preserve"> </w:t>
      </w:r>
      <w:r>
        <w:t xml:space="preserve">Ethics approval (Berlin's Charité Ethics Committee), literature synthesis, survey design.</w:t>
      </w:r>
    </w:p>
    <w:p>
      <w:pPr>
        <w:numPr>
          <w:ilvl w:val="0"/>
          <w:numId w:val="1003"/>
        </w:numPr>
        <w:pStyle w:val="Compact"/>
      </w:pPr>
      <w:r>
        <w:rPr>
          <w:bCs/>
          <w:b/>
        </w:rPr>
        <w:t xml:space="preserve">Months 4–9:</w:t>
      </w:r>
      <w:r>
        <w:t xml:space="preserve"> </w:t>
      </w:r>
      <w:r>
        <w:t xml:space="preserve">Data collection (surveys, interviews) with Berlin institutions.</w:t>
      </w:r>
    </w:p>
    <w:p>
      <w:pPr>
        <w:numPr>
          <w:ilvl w:val="0"/>
          <w:numId w:val="1003"/>
        </w:numPr>
        <w:pStyle w:val="Compact"/>
      </w:pPr>
      <w:r>
        <w:rPr>
          <w:bCs/>
          <w:b/>
        </w:rPr>
        <w:t xml:space="preserve">Months 10–15:</w:t>
      </w:r>
      <w:r>
        <w:t xml:space="preserve"> </w:t>
      </w:r>
      <w:r>
        <w:t xml:space="preserve">Analysis and co-design workshops with Berlin stakeholders.</w:t>
      </w:r>
    </w:p>
    <w:p>
      <w:pPr>
        <w:numPr>
          <w:ilvl w:val="0"/>
          <w:numId w:val="1003"/>
        </w:numPr>
        <w:pStyle w:val="Compact"/>
      </w:pPr>
      <w:r>
        <w:rPr>
          <w:bCs/>
          <w:b/>
        </w:rPr>
        <w:t xml:space="preserve">Months 16–18:</w:t>
      </w:r>
      <w:r>
        <w:t xml:space="preserve"> </w:t>
      </w:r>
      <w:r>
        <w:t xml:space="preserve">Thesis drafting, policy briefs for BMBF/DZRW, final submission.</w:t>
      </w:r>
    </w:p>
    <w:p>
      <w:pPr>
        <w:pStyle w:val="FirstParagraph"/>
      </w:pPr>
      <w:r>
        <w:t xml:space="preserve">Feasibility is assured through established partnerships: the Humboldt Institute for Internet and Society (HIIG) provides research space; Berlin University Alliance grants cover 60% of fieldwork costs. This Thesis Proposal fully complies with Germany's GDPR regulations and BMBF reporting standards.</w:t>
      </w:r>
    </w:p>
    <w:bookmarkEnd w:id="25"/>
    <w:bookmarkStart w:id="26" w:name="expected-outcomes-and-contribution"/>
    <w:p>
      <w:pPr>
        <w:pStyle w:val="Heading2"/>
      </w:pPr>
      <w:r>
        <w:t xml:space="preserve">7. Expected Outcomes and Contribution</w:t>
      </w:r>
    </w:p>
    <w:p>
      <w:pPr>
        <w:pStyle w:val="FirstParagraph"/>
      </w:pPr>
      <w:r>
        <w:t xml:space="preserve">This Thesis Proposal will yield three transformative outcomes:</w:t>
      </w:r>
    </w:p>
    <w:p>
      <w:pPr>
        <w:numPr>
          <w:ilvl w:val="0"/>
          <w:numId w:val="1004"/>
        </w:numPr>
        <w:pStyle w:val="Compact"/>
      </w:pPr>
      <w:r>
        <w:t xml:space="preserve">A validated Berlin-specific "Researcher Development Index" measuring institutional support efficacy;</w:t>
      </w:r>
    </w:p>
    <w:p>
      <w:pPr>
        <w:numPr>
          <w:ilvl w:val="0"/>
          <w:numId w:val="1004"/>
        </w:numPr>
        <w:pStyle w:val="Compact"/>
      </w:pPr>
      <w:r>
        <w:t xml:space="preserve">A publicly accessible digital toolkit for Academic Researchers transitioning from theory to practice in Germany Berlin; and</w:t>
      </w:r>
    </w:p>
    <w:p>
      <w:pPr>
        <w:numPr>
          <w:ilvl w:val="0"/>
          <w:numId w:val="1004"/>
        </w:numPr>
        <w:pStyle w:val="Compact"/>
      </w:pPr>
      <w:r>
        <w:t xml:space="preserve">Policy recommendations adopted by the Berlin Senate Department for Education, Science and Research.</w:t>
      </w:r>
    </w:p>
    <w:p>
      <w:pPr>
        <w:pStyle w:val="FirstParagraph"/>
      </w:pPr>
      <w:r>
        <w:t xml:space="preserve">By centering the Academic Researcher’s lived experience within Germany's most vibrant metropolitan research hub, this work will advance a paradigm shift from "research as output" to "research as societal co-creation." It directly addresses the German government’s 2023 Research Agenda calling for "innovation ecosystems where researchers are empowered to shape solutions."</w:t>
      </w:r>
    </w:p>
    <w:bookmarkEnd w:id="26"/>
    <w:bookmarkStart w:id="27" w:name="conclusion"/>
    <w:p>
      <w:pPr>
        <w:pStyle w:val="Heading2"/>
      </w:pPr>
      <w:r>
        <w:t xml:space="preserve">8. Conclusion</w:t>
      </w:r>
    </w:p>
    <w:p>
      <w:pPr>
        <w:pStyle w:val="FirstParagraph"/>
      </w:pPr>
      <w:r>
        <w:t xml:space="preserve">As a future Academic Researcher committed to Germany Berlin's scholarly excellence, this Thesis Proposal represents both an intellectual contribution and a professional commitment. It transcends conventional academic inquiry by embedding the researcher within the urban fabric that fuels innovation—proving that Berlin’s unique blend of history, diversity, and dynamism offers a blueprint for global research ecosystems. In positioning the Academic Researcher not as a passive participant but as an active architect of knowledge co-creation, this study will cement Berlin's reputation as Europe’s most fertile ground for transformative scholarship. The proposed research is timely, actionable, and uniquely situated to advance Germany's leadership in academic innovation—a mission I am honored to pursue within the heart of Berlin.</w:t>
      </w:r>
    </w:p>
    <w:bookmarkEnd w:id="27"/>
    <w:bookmarkStart w:id="28" w:name="references-selected"/>
    <w:p>
      <w:pPr>
        <w:pStyle w:val="Heading2"/>
      </w:pPr>
      <w:r>
        <w:t xml:space="preserve">References (Selected)</w:t>
      </w:r>
    </w:p>
    <w:p>
      <w:pPr>
        <w:numPr>
          <w:ilvl w:val="0"/>
          <w:numId w:val="1005"/>
        </w:numPr>
        <w:pStyle w:val="Compact"/>
      </w:pPr>
      <w:r>
        <w:t xml:space="preserve">Bundesministerium für Bildung und Forschung (BMBF). (2023). *German Research Agenda: Innovation for Society*.</w:t>
      </w:r>
    </w:p>
    <w:p>
      <w:pPr>
        <w:numPr>
          <w:ilvl w:val="0"/>
          <w:numId w:val="1005"/>
        </w:numPr>
        <w:pStyle w:val="Compact"/>
      </w:pPr>
      <w:r>
        <w:t xml:space="preserve">Eckert, M. et al. (2021). "Urban Innovation Ecosystems in European Metropolises," *Journal of Urban Technology*, 28(4).</w:t>
      </w:r>
    </w:p>
    <w:p>
      <w:pPr>
        <w:numPr>
          <w:ilvl w:val="0"/>
          <w:numId w:val="1005"/>
        </w:numPr>
        <w:pStyle w:val="Compact"/>
      </w:pPr>
      <w:r>
        <w:t xml:space="preserve">Leibniz Association. (2022). *Challenges for Postdocs in Germany: A Berlin Case Study*.</w:t>
      </w:r>
    </w:p>
    <w:p>
      <w:pPr>
        <w:numPr>
          <w:ilvl w:val="0"/>
          <w:numId w:val="1005"/>
        </w:numPr>
        <w:pStyle w:val="Compact"/>
      </w:pPr>
      <w:r>
        <w:t xml:space="preserve">Ministry for Science, Research and Arts of Berlin. (2023). *Berlin Innovation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Development in Germany Berlin</dc:title>
  <dc:creator/>
  <dc:language>en</dc:language>
  <cp:keywords/>
  <dcterms:created xsi:type="dcterms:W3CDTF">2026-07-19T09:27:24Z</dcterms:created>
  <dcterms:modified xsi:type="dcterms:W3CDTF">2026-07-19T09:27:24Z</dcterms:modified>
</cp:coreProperties>
</file>

<file path=docProps/custom.xml><?xml version="1.0" encoding="utf-8"?>
<Properties xmlns="http://schemas.openxmlformats.org/officeDocument/2006/custom-properties" xmlns:vt="http://schemas.openxmlformats.org/officeDocument/2006/docPropsVTypes"/>
</file>