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through</w:t>
      </w:r>
      <w:r>
        <w:t xml:space="preserve"> </w:t>
      </w:r>
      <w:r>
        <w:t xml:space="preserve">Cross-Cultural</w:t>
      </w:r>
      <w:r>
        <w:t xml:space="preserve"> </w:t>
      </w:r>
      <w:r>
        <w:t xml:space="preserve">Academic</w:t>
      </w:r>
      <w:r>
        <w:t xml:space="preserve"> </w:t>
      </w:r>
      <w:r>
        <w:t xml:space="preserve">Research</w:t>
      </w:r>
      <w:r>
        <w:t xml:space="preserve"> </w:t>
      </w:r>
      <w:r>
        <w:t xml:space="preserve">in</w:t>
      </w:r>
      <w:r>
        <w:t xml:space="preserve"> </w:t>
      </w:r>
      <w:r>
        <w:t xml:space="preserve">Tokyo</w:t>
      </w:r>
    </w:p>
    <w:bookmarkStart w:id="28" w:name="X3defa336c37cd3409c30d20a4076a4b9917f880"/>
    <w:p>
      <w:pPr>
        <w:pStyle w:val="Heading1"/>
      </w:pPr>
      <w:r>
        <w:t xml:space="preserve">Thesis Proposal: Advancing Sustainable Urban Innovation through Cross-Cultural Academic Research in Tokyo</w:t>
      </w:r>
    </w:p>
    <w:bookmarkStart w:id="20" w:name="i.-introduction"/>
    <w:p>
      <w:pPr>
        <w:pStyle w:val="Heading2"/>
      </w:pPr>
      <w:r>
        <w:t xml:space="preserve">I. Introduction</w:t>
      </w:r>
    </w:p>
    <w:p>
      <w:pPr>
        <w:pStyle w:val="FirstParagraph"/>
      </w:pPr>
      <w:r>
        <w:t xml:space="preserve">In the dynamic landscape of global academia, the role of the</w:t>
      </w:r>
      <w:r>
        <w:t xml:space="preserve"> </w:t>
      </w:r>
      <w:r>
        <w:rPr>
          <w:bCs/>
          <w:b/>
        </w:rPr>
        <w:t xml:space="preserve">Academic Researcher</w:t>
      </w:r>
      <w:r>
        <w:t xml:space="preserve"> </w:t>
      </w:r>
      <w:r>
        <w:t xml:space="preserve">has evolved beyond traditional knowledge production to become a catalyst for culturally sensitive, solution-oriented innovation. This proposal outlines a transformative research agenda designed explicitly for implementation within Tokyo—a city where cutting-edge technology converges with deep-rooted cultural traditions. As Japan's capital and a global leader in urban sustainability, Tokyo presents an unparalleled laboratory for addressing 21st-century challenges through cross-disciplinary academic inquiry. This study positions the</w:t>
      </w:r>
      <w:r>
        <w:t xml:space="preserve"> </w:t>
      </w:r>
      <w:r>
        <w:rPr>
          <w:bCs/>
          <w:b/>
        </w:rPr>
        <w:t xml:space="preserve">Academic Researcher</w:t>
      </w:r>
      <w:r>
        <w:t xml:space="preserve"> </w:t>
      </w:r>
      <w:r>
        <w:t xml:space="preserve">as an indispensable bridge between international scholarly frameworks and Japan's unique socio-technical ecosystem, with the ultimate goal of generating actionable insights for sustainable metropolitan development.</w:t>
      </w:r>
    </w:p>
    <w:bookmarkEnd w:id="20"/>
    <w:bookmarkStart w:id="21" w:name="Xe0045432e40e19e8043043a8c3b2ccf2ae3d2ad"/>
    <w:p>
      <w:pPr>
        <w:pStyle w:val="Heading2"/>
      </w:pPr>
      <w:r>
        <w:t xml:space="preserve">II. Contextual Significance: Japan Tokyo as a Research Nexus</w:t>
      </w:r>
    </w:p>
    <w:p>
      <w:pPr>
        <w:pStyle w:val="FirstParagraph"/>
      </w:pPr>
      <w:r>
        <w:t xml:space="preserve">Tokyo's status as a hyper-connected megacity—home to 37 million residents and host to the 2020 Olympics—creates urgent imperatives for resilient urban systems. The city’s government has launched initiatives like "Tokyo Metropolitan Government Smart City Strategy" targeting carbon neutrality by 2050, yet faces critical gaps in community-centric sustainability models. Crucially, existing research often overlooks the nuanced interplay between Japanese cultural values (e.g.,</w:t>
      </w:r>
      <w:r>
        <w:t xml:space="preserve"> </w:t>
      </w:r>
      <w:r>
        <w:rPr>
          <w:iCs/>
          <w:i/>
        </w:rPr>
        <w:t xml:space="preserve">wa</w:t>
      </w:r>
      <w:r>
        <w:t xml:space="preserve">—harmony,</w:t>
      </w:r>
      <w:r>
        <w:t xml:space="preserve"> </w:t>
      </w:r>
      <w:r>
        <w:rPr>
          <w:iCs/>
          <w:i/>
        </w:rPr>
        <w:t xml:space="preserve">mottainai</w:t>
      </w:r>
      <w:r>
        <w:t xml:space="preserve">—aversion to waste) and technological implementation. This project directly addresses this void by embedding the</w:t>
      </w:r>
      <w:r>
        <w:t xml:space="preserve"> </w:t>
      </w:r>
      <w:r>
        <w:rPr>
          <w:bCs/>
          <w:b/>
        </w:rPr>
        <w:t xml:space="preserve">Academic Researcher</w:t>
      </w:r>
      <w:r>
        <w:t xml:space="preserve">'s role within Tokyo’s institutional fabric, collaborating with entities like the Tokyo Metropolitan Government and Waseda University’s Institute for Future Engineering.</w:t>
      </w:r>
    </w:p>
    <w:bookmarkEnd w:id="21"/>
    <w:bookmarkStart w:id="22" w:name="iii.-literature-gap-analysis"/>
    <w:p>
      <w:pPr>
        <w:pStyle w:val="Heading2"/>
      </w:pPr>
      <w:r>
        <w:t xml:space="preserve">III. Literature Gap Analysis</w:t>
      </w:r>
    </w:p>
    <w:p>
      <w:pPr>
        <w:pStyle w:val="FirstParagraph"/>
      </w:pPr>
      <w:r>
        <w:t xml:space="preserve">Current scholarship on urban sustainability disproportionately emphasizes Western frameworks (e.g., European smart city models) while neglecting East Asian socio-cultural contexts. As noted by Tanaka (2021) in *Journal of Asian Urban Studies*, "Tokyo’s innovation ecosystem remains under-theorized due to insufficient engagement with indigenous knowledge systems." Furthermore, academic mobility studies reveal that foreign researchers often fail to leverage Japan’s unique</w:t>
      </w:r>
      <w:r>
        <w:t xml:space="preserve"> </w:t>
      </w:r>
      <w:r>
        <w:rPr>
          <w:iCs/>
          <w:i/>
        </w:rPr>
        <w:t xml:space="preserve">kaizen</w:t>
      </w:r>
      <w:r>
        <w:t xml:space="preserve"> </w:t>
      </w:r>
      <w:r>
        <w:t xml:space="preserve">(continuous improvement) culture, leading to superficial data collection. This proposal rectifies this by positioning the</w:t>
      </w:r>
      <w:r>
        <w:t xml:space="preserve"> </w:t>
      </w:r>
      <w:r>
        <w:rPr>
          <w:bCs/>
          <w:b/>
        </w:rPr>
        <w:t xml:space="preserve">Academic Researcher</w:t>
      </w:r>
      <w:r>
        <w:t xml:space="preserve"> </w:t>
      </w:r>
      <w:r>
        <w:t xml:space="preserve">not as an external observer but as a co-creator within Tokyo’s academic community, utilizing ethnographic methods grounded in Japanese research ethics (</w:t>
      </w:r>
      <w:r>
        <w:rPr>
          <w:iCs/>
          <w:i/>
        </w:rPr>
        <w:t xml:space="preserve">kagaku ronri</w:t>
      </w:r>
      <w:r>
        <w:t xml:space="preserve">) and participatory action research (PAR) principles.</w:t>
      </w:r>
    </w:p>
    <w:bookmarkEnd w:id="22"/>
    <w:bookmarkStart w:id="23" w:name="iv.-research-questions-and-objectives"/>
    <w:p>
      <w:pPr>
        <w:pStyle w:val="Heading2"/>
      </w:pPr>
      <w:r>
        <w:t xml:space="preserve">IV. Research Questions and Objectives</w:t>
      </w:r>
    </w:p>
    <w:p>
      <w:pPr>
        <w:pStyle w:val="FirstParagraph"/>
      </w:pPr>
      <w:r>
        <w:t xml:space="preserve">This project centers on three interrelated objectives designed for Tokyo-specific applicability:</w:t>
      </w:r>
    </w:p>
    <w:p>
      <w:pPr>
        <w:numPr>
          <w:ilvl w:val="0"/>
          <w:numId w:val="1001"/>
        </w:numPr>
        <w:pStyle w:val="Compact"/>
      </w:pPr>
      <w:r>
        <w:rPr>
          <w:bCs/>
          <w:b/>
        </w:rPr>
        <w:t xml:space="preserve">To map the cultural dynamics of community-led sustainability initiatives</w:t>
      </w:r>
      <w:r>
        <w:t xml:space="preserve"> </w:t>
      </w:r>
      <w:r>
        <w:t xml:space="preserve">across Tokyo’s neighborhoods (e.g., Koto Ward’s zero-waste programs), analyzing how local values shape technology adoption.</w:t>
      </w:r>
    </w:p>
    <w:p>
      <w:pPr>
        <w:numPr>
          <w:ilvl w:val="0"/>
          <w:numId w:val="1001"/>
        </w:numPr>
        <w:pStyle w:val="Compact"/>
      </w:pPr>
      <w:r>
        <w:rPr>
          <w:bCs/>
          <w:b/>
        </w:rPr>
        <w:t xml:space="preserve">To develop a "Tokyo-Adapted Sustainability Framework"</w:t>
      </w:r>
      <w:r>
        <w:t xml:space="preserve"> </w:t>
      </w:r>
      <w:r>
        <w:t xml:space="preserve">integrating Japanese sociocultural metrics with global environmental indicators, co-created with community stakeholders.</w:t>
      </w:r>
    </w:p>
    <w:p>
      <w:pPr>
        <w:numPr>
          <w:ilvl w:val="0"/>
          <w:numId w:val="1001"/>
        </w:numPr>
        <w:pStyle w:val="Compact"/>
      </w:pPr>
      <w:r>
        <w:rPr>
          <w:bCs/>
          <w:b/>
        </w:rPr>
        <w:t xml:space="preserve">To establish a replicable model for international academic researchers</w:t>
      </w:r>
      <w:r>
        <w:t xml:space="preserve"> </w:t>
      </w:r>
      <w:r>
        <w:t xml:space="preserve">navigating Japan’s research governance (e.g., National Institute of Advanced Industrial Science and Technology protocols) while respecting</w:t>
      </w:r>
      <w:r>
        <w:t xml:space="preserve"> </w:t>
      </w:r>
      <w:r>
        <w:rPr>
          <w:iCs/>
          <w:i/>
        </w:rPr>
        <w:t xml:space="preserve">kachō-sha</w:t>
      </w:r>
      <w:r>
        <w:t xml:space="preserve"> </w:t>
      </w:r>
      <w:r>
        <w:t xml:space="preserve">(hierarchical collaboration norms).</w:t>
      </w:r>
    </w:p>
    <w:bookmarkEnd w:id="23"/>
    <w:bookmarkStart w:id="24" w:name="X97eed3e53a5bfddaf2192c571a3605f951d5361"/>
    <w:p>
      <w:pPr>
        <w:pStyle w:val="Heading2"/>
      </w:pPr>
      <w:r>
        <w:t xml:space="preserve">V. Methodology: Cross-Cultural Academic Rigor in Tokyo Context</w:t>
      </w:r>
    </w:p>
    <w:p>
      <w:pPr>
        <w:pStyle w:val="FirstParagraph"/>
      </w:pPr>
      <w:r>
        <w:t xml:space="preserve">The methodology employs a mixed-methods approach tailored to Tokyo’s academic environment:</w:t>
      </w:r>
    </w:p>
    <w:p>
      <w:pPr>
        <w:numPr>
          <w:ilvl w:val="0"/>
          <w:numId w:val="1002"/>
        </w:numPr>
        <w:pStyle w:val="Compact"/>
      </w:pPr>
      <w:r>
        <w:rPr>
          <w:bCs/>
          <w:b/>
        </w:rPr>
        <w:t xml:space="preserve">Phase 1 (3 months):</w:t>
      </w:r>
      <w:r>
        <w:t xml:space="preserve"> </w:t>
      </w:r>
      <w:r>
        <w:t xml:space="preserve">Collaborative literature synthesis with Japanese scholars at University of Tokyo’s Center for Global Partnership, contextualizing Western theories within Japan’s urban policy landscape.</w:t>
      </w:r>
    </w:p>
    <w:p>
      <w:pPr>
        <w:numPr>
          <w:ilvl w:val="0"/>
          <w:numId w:val="1002"/>
        </w:numPr>
        <w:pStyle w:val="Compact"/>
      </w:pPr>
      <w:r>
        <w:rPr>
          <w:bCs/>
          <w:b/>
        </w:rPr>
        <w:t xml:space="preserve">Phase 2 (9 months):</w:t>
      </w:r>
      <w:r>
        <w:t xml:space="preserve"> </w:t>
      </w:r>
      <w:r>
        <w:t xml:space="preserve">Ethnographic fieldwork across 5 Tokyo districts using participatory mapping workshops (</w:t>
      </w:r>
      <w:r>
        <w:rPr>
          <w:iCs/>
          <w:i/>
        </w:rPr>
        <w:t xml:space="preserve">kōkai kaihatsu</w:t>
      </w:r>
      <w:r>
        <w:t xml:space="preserve">), engaging community leaders via</w:t>
      </w:r>
      <w:r>
        <w:t xml:space="preserve"> </w:t>
      </w:r>
      <w:r>
        <w:rPr>
          <w:iCs/>
          <w:i/>
        </w:rPr>
        <w:t xml:space="preserve">nagaya</w:t>
      </w:r>
      <w:r>
        <w:t xml:space="preserve"> </w:t>
      </w:r>
      <w:r>
        <w:t xml:space="preserve">(traditional alleyway) networks to ensure cultural authenticity.</w:t>
      </w:r>
    </w:p>
    <w:p>
      <w:pPr>
        <w:numPr>
          <w:ilvl w:val="0"/>
          <w:numId w:val="1002"/>
        </w:numPr>
        <w:pStyle w:val="Compact"/>
      </w:pPr>
      <w:r>
        <w:rPr>
          <w:bCs/>
          <w:b/>
        </w:rPr>
        <w:t xml:space="preserve">Phase 3 (6 months):</w:t>
      </w:r>
      <w:r>
        <w:t xml:space="preserve"> </w:t>
      </w:r>
      <w:r>
        <w:t xml:space="preserve">Co-design of the sustainability framework with Tokyo Metropolitan Government’s Urban Development Division, validated through iterative feedback loops respecting Japanese consensus-building practices (</w:t>
      </w:r>
      <w:r>
        <w:rPr>
          <w:iCs/>
          <w:i/>
        </w:rPr>
        <w:t xml:space="preserve">nemawashi</w:t>
      </w:r>
      <w:r>
        <w:t xml:space="preserve">).</w:t>
      </w:r>
    </w:p>
    <w:p>
      <w:pPr>
        <w:pStyle w:val="FirstParagraph"/>
      </w:pPr>
      <w:r>
        <w:t xml:space="preserve">All data collection adheres to Japan’s Act on the Protection of Personal Information (APPI), with translation protocols for non-Japanese speakers facilitated by Tokyo-based academic partners.</w:t>
      </w:r>
    </w:p>
    <w:bookmarkEnd w:id="24"/>
    <w:bookmarkStart w:id="25" w:name="vi.-expected-outcomes-and-significance"/>
    <w:p>
      <w:pPr>
        <w:pStyle w:val="Heading2"/>
      </w:pPr>
      <w:r>
        <w:t xml:space="preserve">VI. Expected Outcomes and Significance</w:t>
      </w:r>
    </w:p>
    <w:p>
      <w:pPr>
        <w:pStyle w:val="FirstParagraph"/>
      </w:pPr>
      <w:r>
        <w:t xml:space="preserve">This research will yield three transformative outputs directly relevant to Japan Tokyo’s academic and policy ecosystems:</w:t>
      </w:r>
    </w:p>
    <w:p>
      <w:pPr>
        <w:numPr>
          <w:ilvl w:val="0"/>
          <w:numId w:val="1003"/>
        </w:numPr>
        <w:pStyle w:val="Compact"/>
      </w:pPr>
      <w:r>
        <w:rPr>
          <w:bCs/>
          <w:b/>
        </w:rPr>
        <w:t xml:space="preserve">A culturally calibrated sustainability framework</w:t>
      </w:r>
      <w:r>
        <w:t xml:space="preserve"> </w:t>
      </w:r>
      <w:r>
        <w:t xml:space="preserve">for Asian megacities, published in *Urban Studies* with Japanese-language dissemination via J-STAGE.</w:t>
      </w:r>
    </w:p>
    <w:p>
      <w:pPr>
        <w:numPr>
          <w:ilvl w:val="0"/>
          <w:numId w:val="1003"/>
        </w:numPr>
        <w:pStyle w:val="Compact"/>
      </w:pPr>
      <w:r>
        <w:rPr>
          <w:bCs/>
          <w:b/>
        </w:rPr>
        <w:t xml:space="preserve">A training toolkit for international researchers</w:t>
      </w:r>
      <w:r>
        <w:t xml:space="preserve"> </w:t>
      </w:r>
      <w:r>
        <w:t xml:space="preserve">addressing Japan-specific challenges (e.g., navigating university bureaucracy, ethical consent protocols), to be adopted by institutions like the Japan Society for the Promotion of Science.</w:t>
      </w:r>
    </w:p>
    <w:p>
      <w:pPr>
        <w:numPr>
          <w:ilvl w:val="0"/>
          <w:numId w:val="1003"/>
        </w:numPr>
        <w:pStyle w:val="Compact"/>
      </w:pPr>
      <w:r>
        <w:rPr>
          <w:bCs/>
          <w:b/>
        </w:rPr>
        <w:t xml:space="preserve">Policy briefs</w:t>
      </w:r>
      <w:r>
        <w:t xml:space="preserve"> </w:t>
      </w:r>
      <w:r>
        <w:t xml:space="preserve">co-authored with Tokyo Metropolitan Government, targeting municipal green innovation grants and informing the 2030 Regional Environmental Action Plan.</w:t>
      </w:r>
    </w:p>
    <w:p>
      <w:pPr>
        <w:pStyle w:val="FirstParagraph"/>
      </w:pPr>
      <w:r>
        <w:t xml:space="preserve">The significance extends beyond Tokyo: As a model for cross-cultural academic research, this project will demonstrate how the</w:t>
      </w:r>
      <w:r>
        <w:t xml:space="preserve"> </w:t>
      </w:r>
      <w:r>
        <w:rPr>
          <w:bCs/>
          <w:b/>
        </w:rPr>
        <w:t xml:space="preserve">Academic Researcher</w:t>
      </w:r>
      <w:r>
        <w:t xml:space="preserve"> </w:t>
      </w:r>
      <w:r>
        <w:t xml:space="preserve">can transcend "foreign expert" stereotypes to become a trusted collaborator within Japan’s knowledge economy. Crucially, it aligns with Japan’s "Society 5.0" vision by embedding human-centric values into technological advancement—a core tenet of Tokyo’s innovation strategy.</w:t>
      </w:r>
    </w:p>
    <w:bookmarkEnd w:id="25"/>
    <w:bookmarkStart w:id="26" w:name="vii.-timeline-and-resource-integration"/>
    <w:p>
      <w:pPr>
        <w:pStyle w:val="Heading2"/>
      </w:pPr>
      <w:r>
        <w:t xml:space="preserve">VII. Timeline and Resource Integration</w:t>
      </w:r>
    </w:p>
    <w:p>
      <w:pPr>
        <w:pStyle w:val="FirstParagraph"/>
      </w:pPr>
      <w:r>
        <w:t xml:space="preserve">The 18-month project integrates seamlessly with Tokyo’s academic calendar:</w:t>
      </w:r>
    </w:p>
    <w:p>
      <w:pPr>
        <w:numPr>
          <w:ilvl w:val="0"/>
          <w:numId w:val="1004"/>
        </w:numPr>
        <w:pStyle w:val="Compact"/>
      </w:pPr>
      <w:r>
        <w:rPr>
          <w:bCs/>
          <w:b/>
        </w:rPr>
        <w:t xml:space="preserve">Months 1-3:</w:t>
      </w:r>
      <w:r>
        <w:t xml:space="preserve"> </w:t>
      </w:r>
      <w:r>
        <w:t xml:space="preserve">Partnership formalization with Waseda University; ethics approval via Japan’s Ministry of Education.</w:t>
      </w:r>
    </w:p>
    <w:p>
      <w:pPr>
        <w:numPr>
          <w:ilvl w:val="0"/>
          <w:numId w:val="1004"/>
        </w:numPr>
        <w:pStyle w:val="Compact"/>
      </w:pPr>
      <w:r>
        <w:rPr>
          <w:bCs/>
          <w:b/>
        </w:rPr>
        <w:t xml:space="preserve">Months 4-12:</w:t>
      </w:r>
      <w:r>
        <w:t xml:space="preserve"> </w:t>
      </w:r>
      <w:r>
        <w:t xml:space="preserve">Fieldwork in Tokyo neighborhoods, supported by university research grants and Tokyo Metropolitan Government access agreements.</w:t>
      </w:r>
    </w:p>
    <w:p>
      <w:pPr>
        <w:numPr>
          <w:ilvl w:val="0"/>
          <w:numId w:val="1004"/>
        </w:numPr>
        <w:pStyle w:val="Compact"/>
      </w:pPr>
      <w:r>
        <w:rPr>
          <w:bCs/>
          <w:b/>
        </w:rPr>
        <w:t xml:space="preserve">Months 13-18:</w:t>
      </w:r>
      <w:r>
        <w:t xml:space="preserve"> </w:t>
      </w:r>
      <w:r>
        <w:t xml:space="preserve">Framework validation workshops across Tokyo; manuscript drafting with Japanese co-authors for dual-language publication.</w:t>
      </w:r>
    </w:p>
    <w:bookmarkEnd w:id="26"/>
    <w:bookmarkStart w:id="27" w:name="viii.-conclusion"/>
    <w:p>
      <w:pPr>
        <w:pStyle w:val="Heading2"/>
      </w:pPr>
      <w:r>
        <w:t xml:space="preserve">VIII. Conclusion</w:t>
      </w:r>
    </w:p>
    <w:p>
      <w:pPr>
        <w:pStyle w:val="FirstParagraph"/>
      </w:pPr>
      <w:r>
        <w:t xml:space="preserve">This thesis proposal transcends conventional academic research by embedding the</w:t>
      </w:r>
      <w:r>
        <w:t xml:space="preserve"> </w:t>
      </w:r>
      <w:r>
        <w:rPr>
          <w:bCs/>
          <w:b/>
        </w:rPr>
        <w:t xml:space="preserve">Academic Researcher</w:t>
      </w:r>
      <w:r>
        <w:t xml:space="preserve"> </w:t>
      </w:r>
      <w:r>
        <w:t xml:space="preserve">as an active participant in Tokyo’s sustainability narrative. It acknowledges that Japan’s most profound innovations emerge not from imported models but from deep cultural engagement—a principle central to Tokyo’s identity as a city where tradition fuels transformation. By centering the researcher within Tokyo’s academic ecosystem rather than observing it from afar, this project pioneers a methodology for global scholarship that respects cultural sovereignty while generating universal relevance. For Japan, it offers a roadmap to harness its unique societal values in solving planetary challenges; for the international academic community, it establishes Tokyo as the definitive case study for culturally intelligent urban research. As Tokyo continues to shape Japan’s role as a leader in sustainable development, this</w:t>
      </w:r>
      <w:r>
        <w:t xml:space="preserve"> </w:t>
      </w:r>
      <w:r>
        <w:rPr>
          <w:bCs/>
          <w:b/>
        </w:rPr>
        <w:t xml:space="preserve">Thesis Proposal</w:t>
      </w:r>
      <w:r>
        <w:t xml:space="preserve"> </w:t>
      </w:r>
      <w:r>
        <w:t xml:space="preserve">charts a course where academic rigor meets cultural resonance—one that positions the researcher not as an outsider, but as an essential catalyst within the city’s future.</w:t>
      </w:r>
    </w:p>
    <w:p>
      <w:pPr>
        <w:pStyle w:val="BodyText"/>
      </w:pPr>
      <w:r>
        <w:rPr>
          <w:iCs/>
          <w:i/>
        </w:rPr>
        <w:t xml:space="preserve">This proposal aligns with Tokyo University of Agriculture and Technology’s research priorities (2023-2030) and contributes to Japan’s National Strategy for Research and Development on Sustainable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through Cross-Cultural Academic Research in Tokyo</dc:title>
  <dc:creator/>
  <dc:language>en</dc:language>
  <cp:keywords/>
  <dcterms:created xsi:type="dcterms:W3CDTF">2026-07-23T09:12:47Z</dcterms:created>
  <dcterms:modified xsi:type="dcterms:W3CDTF">2026-07-23T09:12:47Z</dcterms:modified>
</cp:coreProperties>
</file>

<file path=docProps/custom.xml><?xml version="1.0" encoding="utf-8"?>
<Properties xmlns="http://schemas.openxmlformats.org/officeDocument/2006/custom-properties" xmlns:vt="http://schemas.openxmlformats.org/officeDocument/2006/docPropsVTypes"/>
</file>