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Kazakhstan</w:t>
      </w:r>
      <w:r>
        <w:t xml:space="preserve"> </w:t>
      </w:r>
      <w:r>
        <w:t xml:space="preserve">Almaty</w:t>
      </w:r>
    </w:p>
    <w:bookmarkStart w:id="28" w:name="Xead7725fc3c8d768bd66a965125f0e74e14c056"/>
    <w:p>
      <w:pPr>
        <w:pStyle w:val="Heading1"/>
      </w:pPr>
      <w:r>
        <w:t xml:space="preserve">Thesis Proposal: The Role and Development of Academic Researchers in Kazakhstan Almaty</w:t>
      </w:r>
    </w:p>
    <w:bookmarkStart w:id="20" w:name="introduction"/>
    <w:p>
      <w:pPr>
        <w:pStyle w:val="Heading2"/>
      </w:pPr>
      <w:r>
        <w:t xml:space="preserve">1. Introduction</w:t>
      </w:r>
    </w:p>
    <w:p>
      <w:pPr>
        <w:pStyle w:val="FirstParagraph"/>
      </w:pPr>
      <w:r>
        <w:t xml:space="preserve">The evolving academic landscape of</w:t>
      </w:r>
      <w:r>
        <w:t xml:space="preserve"> </w:t>
      </w:r>
      <w:r>
        <w:rPr>
          <w:bCs/>
          <w:b/>
        </w:rPr>
        <w:t xml:space="preserve">Kazakhstan Almaty</w:t>
      </w:r>
      <w:r>
        <w:t xml:space="preserve"> </w:t>
      </w:r>
      <w:r>
        <w:t xml:space="preserve">presents a critical juncture for higher education reform and research excellence. As the nation accelerates its transition toward knowledge-based economic development, the role of the</w:t>
      </w:r>
      <w:r>
        <w:t xml:space="preserve"> </w:t>
      </w:r>
      <w:r>
        <w:rPr>
          <w:iCs/>
          <w:i/>
        </w:rPr>
        <w:t xml:space="preserve">Academic Researcher</w:t>
      </w:r>
      <w:r>
        <w:t xml:space="preserve"> </w:t>
      </w:r>
      <w:r>
        <w:t xml:space="preserve">has become pivotal in shaping national innovation strategies. This Thesis Proposal addresses a pressing gap: an empirical study examining the professional trajectory, challenges, and institutional support systems for Academic Researchers within Almaty's premier universities. With Almaty serving as Kazakhstan's academic epicenter—home to 70% of the country's research institutions—it is imperative to investigate how these scholars navigate interdisciplinary collaboration, funding constraints, and international engagement. This research directly responds to Kazakhstan's 2025 National Strategy for Science Development, which prioritizes strengthening academic research capacity. The proposed study will generate actionable insights for policymakers in</w:t>
      </w:r>
      <w:r>
        <w:t xml:space="preserve"> </w:t>
      </w:r>
      <w:r>
        <w:rPr>
          <w:bCs/>
          <w:b/>
        </w:rPr>
        <w:t xml:space="preserve">Kazakhstan Almaty</w:t>
      </w:r>
      <w:r>
        <w:t xml:space="preserve"> </w:t>
      </w:r>
      <w:r>
        <w:t xml:space="preserve">aiming to elevate the country's global research standing.</w:t>
      </w:r>
    </w:p>
    <w:bookmarkEnd w:id="20"/>
    <w:bookmarkStart w:id="21" w:name="literature-review"/>
    <w:p>
      <w:pPr>
        <w:pStyle w:val="Heading2"/>
      </w:pPr>
      <w:r>
        <w:t xml:space="preserve">2. Literature Review</w:t>
      </w:r>
    </w:p>
    <w:p>
      <w:pPr>
        <w:pStyle w:val="FirstParagraph"/>
      </w:pPr>
      <w:r>
        <w:t xml:space="preserve">Existing scholarship on academic researchers in Central Asia remains sparse, with most studies focusing on post-Soviet institutional transitions rather than granular professional experiences. Recent works by Aitzhanova (2021) and Sarsembaev (2023) analyze Kazakhstani universities' structural reforms but overlook the lived realities of</w:t>
      </w:r>
      <w:r>
        <w:t xml:space="preserve"> </w:t>
      </w:r>
      <w:r>
        <w:rPr>
          <w:iCs/>
          <w:i/>
        </w:rPr>
        <w:t xml:space="preserve">Academic Researcher</w:t>
      </w:r>
      <w:r>
        <w:t xml:space="preserve">s in Almaty. Notably, no comprehensive research has examined how cultural factors—such as the legacy of Soviet-era academic hierarchies and contemporary market-oriented pressures—affect researcher productivity in Kazakhstan's largest urban academic hub. Furthermore, while global studies (e.g., van den Besselaar &amp; Leydesdorff, 2018) document researcher mobility patterns, they neglect the unique context of post-Soviet academia. This gap is critical because Almaty's universities—particularly Kazakh National University and Nazarbayev University—face distinct challenges: limited cross-disciplinary funding, bureaucratic barriers to international partnerships, and a skills mismatch between academic training and market needs. This Thesis Proposal bridges these voids by centering the</w:t>
      </w:r>
      <w:r>
        <w:t xml:space="preserve"> </w:t>
      </w:r>
      <w:r>
        <w:rPr>
          <w:iCs/>
          <w:i/>
        </w:rPr>
        <w:t xml:space="preserve">Academic Researcher</w:t>
      </w:r>
      <w:r>
        <w:t xml:space="preserve"> </w:t>
      </w:r>
      <w:r>
        <w:t xml:space="preserve">experience within Almaty's socio-academic ecosystem.</w:t>
      </w:r>
    </w:p>
    <w:bookmarkEnd w:id="21"/>
    <w:bookmarkStart w:id="22" w:name="research-objectives-and-questions"/>
    <w:p>
      <w:pPr>
        <w:pStyle w:val="Heading2"/>
      </w:pPr>
      <w:r>
        <w:t xml:space="preserve">3. Research Objectives and Questions</w:t>
      </w:r>
    </w:p>
    <w:p>
      <w:pPr>
        <w:pStyle w:val="FirstParagraph"/>
      </w:pPr>
      <w:r>
        <w:t xml:space="preserve">This study aims to:</w:t>
      </w:r>
      <w:r>
        <w:t xml:space="preserve"> </w:t>
      </w:r>
      <w:r>
        <w:t xml:space="preserve">(1) Map the career development pathways of Academic Researchers in Almaty;</w:t>
      </w:r>
      <w:r>
        <w:t xml:space="preserve"> </w:t>
      </w:r>
      <w:r>
        <w:t xml:space="preserve">(2) Identify systemic barriers to research output;</w:t>
      </w:r>
      <w:r>
        <w:t xml:space="preserve"> </w:t>
      </w:r>
      <w:r>
        <w:t xml:space="preserve">(3) Evaluate institutional support mechanisms at Almaty universities; and</w:t>
      </w:r>
      <w:r>
        <w:t xml:space="preserve"> </w:t>
      </w:r>
      <w:r>
        <w:t xml:space="preserve">(4) Propose evidence-based strategies for enhancing researcher efficacy.</w:t>
      </w:r>
      <w:r>
        <w:t xml:space="preserve"> </w:t>
      </w:r>
      <w:r>
        <w:t xml:space="preserve">Key research questions include:</w:t>
      </w:r>
      <w:r>
        <w:t xml:space="preserve"> </w:t>
      </w:r>
      <w:r>
        <w:t xml:space="preserve">- How do Academic Researchers in Kazakhstan Almaty perceive the alignment between their training and current research demands?</w:t>
      </w:r>
      <w:r>
        <w:t xml:space="preserve"> </w:t>
      </w:r>
      <w:r>
        <w:t xml:space="preserve">- What institutional policies most significantly impede or enable cross-departmental collaboration in Almaty's academic institutions?</w:t>
      </w:r>
      <w:r>
        <w:t xml:space="preserve"> </w:t>
      </w:r>
      <w:r>
        <w:t xml:space="preserve">- To what extent does geopolitical positioning (e.g., proximity to China, EU partnerships) influence research opportunities for Almaty-based scholars?</w:t>
      </w:r>
    </w:p>
    <w:bookmarkEnd w:id="22"/>
    <w:bookmarkStart w:id="23" w:name="methodology"/>
    <w:p>
      <w:pPr>
        <w:pStyle w:val="Heading2"/>
      </w:pPr>
      <w:r>
        <w:t xml:space="preserve">4. Methodology</w:t>
      </w:r>
    </w:p>
    <w:p>
      <w:pPr>
        <w:pStyle w:val="FirstParagraph"/>
      </w:pPr>
      <w:r>
        <w:t xml:space="preserve">A mixed-methods approach will be employed, combining quantitative surveys with qualitative interviews to ensure robust triangulation of data. Phase 1 involves a stratified random survey of 350 Academic Researchers across seven Almaty universities (including Kazakh National University, Al-Farabi KazNU, and the International University of Information Technology), capturing demographics, publication metrics, and perceived barriers. Phase 2 comprises in-depth interviews with 40 key stakeholders: researchers (n=25), university administrators (n=10), and Ministry of Education officials (n=5). The sampling prioritizes early-career scholars (&lt;10 years experience) to address Kazakhstan's critical talent retention challenge. Data analysis will utilize NVivo for thematic coding of interviews and SPSS for survey statistics, with a focus on identifying correlations between institutional support structures and research output (e.g., Scopus-indexed publications). Ethical approval will be secured from the Kazakh National University Research Ethics Board, ensuring confidentiality per Kazakhstan's Law on Scientific Activities. This methodology directly addresses Almaty's unique context by capturing regional nuances often missed in country-wide studies.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outcomes:</w:t>
      </w:r>
      <w:r>
        <w:t xml:space="preserve"> </w:t>
      </w:r>
      <w:r>
        <w:t xml:space="preserve">First, a comprehensive taxonomy of barriers facing Academic Researchers in Kazakhstan Almaty—such as bureaucratic delays in grant processing or insufficient lab infrastructure—which will be validated through empirical data. Second, a framework for "Researcher Career Pathways" tailored to Almaty's academic ecosystem, proposing tiered support models from entry-level to senior positions. Third, policy recommendations aligned with Kazakhstan's 2025 National Strategy, including standardized international collaboration protocols and digital research infrastructure investment plans specifically for Almaty institutions.</w:t>
      </w:r>
      <w:r>
        <w:t xml:space="preserve"> </w:t>
      </w:r>
      <w:r>
        <w:t xml:space="preserve">The significance extends beyond academia: findings will directly inform the</w:t>
      </w:r>
      <w:r>
        <w:t xml:space="preserve"> </w:t>
      </w:r>
      <w:r>
        <w:rPr>
          <w:bCs/>
          <w:b/>
        </w:rPr>
        <w:t xml:space="preserve">Kazakhstan Almaty</w:t>
      </w:r>
      <w:r>
        <w:t xml:space="preserve"> </w:t>
      </w:r>
      <w:r>
        <w:t xml:space="preserve">Mayor's Office Innovation Task Force and the National Research Foundation. By pinpointing how Academic Researchers contribute to Almaty's smart-city initiatives (e.g., AI-driven urban planning), this research positions scholars as key agents in Kazakhstan's economic diversification. Moreover, it challenges the misconception that Central Asian researchers are merely "consumers" of Western knowledge by highlighting Almaty's growing role in regional innovation networks. Crucially, the study will empower policymakers to move beyond generic reforms toward context-specific solutions—ensuring every</w:t>
      </w:r>
      <w:r>
        <w:t xml:space="preserve"> </w:t>
      </w:r>
      <w:r>
        <w:rPr>
          <w:iCs/>
          <w:i/>
        </w:rPr>
        <w:t xml:space="preserve">Academic Researcher</w:t>
      </w:r>
      <w:r>
        <w:t xml:space="preserve"> </w:t>
      </w:r>
      <w:r>
        <w:t xml:space="preserve">in Kazakhstan Almaty becomes a catalyst for sustainable development.</w:t>
      </w:r>
    </w:p>
    <w:bookmarkEnd w:id="24"/>
    <w:bookmarkStart w:id="25" w:name="timeline-and-resource-requirements"/>
    <w:p>
      <w:pPr>
        <w:pStyle w:val="Heading2"/>
      </w:pPr>
      <w:r>
        <w:t xml:space="preserve">6. Timeline and Resource Requirements</w:t>
      </w:r>
    </w:p>
    <w:p>
      <w:pPr>
        <w:pStyle w:val="FirstParagraph"/>
      </w:pPr>
      <w:r>
        <w:t xml:space="preserve">The research spans 18 months:</w:t>
      </w:r>
      <w:r>
        <w:t xml:space="preserve"> </w:t>
      </w:r>
      <w:r>
        <w:t xml:space="preserve">- Months 1-3: Literature review and ethics approval (focused on Kazakhstani academic norms)</w:t>
      </w:r>
      <w:r>
        <w:t xml:space="preserve"> </w:t>
      </w:r>
      <w:r>
        <w:t xml:space="preserve">- Months 4-7: Survey deployment across Almaty universities</w:t>
      </w:r>
      <w:r>
        <w:t xml:space="preserve"> </w:t>
      </w:r>
      <w:r>
        <w:t xml:space="preserve">- Months 8-12: Interview fieldwork in Almaty, with cultural sensitivity training for researchers</w:t>
      </w:r>
      <w:r>
        <w:t xml:space="preserve"> </w:t>
      </w:r>
      <w:r>
        <w:t xml:space="preserve">- Months 13-15: Data analysis and draft policy briefs</w:t>
      </w:r>
      <w:r>
        <w:t xml:space="preserve"> </w:t>
      </w:r>
      <w:r>
        <w:t xml:space="preserve">- Months 16-18: Final thesis writing and stakeholder workshops in Almaty</w:t>
      </w:r>
      <w:r>
        <w:t xml:space="preserve"> </w:t>
      </w:r>
      <w:r>
        <w:t xml:space="preserve">Required resources include a $20,000 research grant (for translator fees, travel within Almaty, and survey platform access), partnership agreements with three Almaty universities for data access, and collaboration with the Kazakh Academy of Sciences. All deliverables will be co-authored with at least two Academic Researchers from Kazakhstan to ensure contextual relevance.</w:t>
      </w:r>
    </w:p>
    <w:bookmarkEnd w:id="25"/>
    <w:bookmarkStart w:id="26" w:name="conclusion"/>
    <w:p>
      <w:pPr>
        <w:pStyle w:val="Heading2"/>
      </w:pPr>
      <w:r>
        <w:t xml:space="preserve">7. Conclusion</w:t>
      </w:r>
    </w:p>
    <w:p>
      <w:pPr>
        <w:pStyle w:val="FirstParagraph"/>
      </w:pPr>
      <w:r>
        <w:t xml:space="preserve">The proposed Thesis Proposal constitutes a timely, necessary investigation into the foundational force driving Kazakhstan's academic ascent: the Academic Researcher in Almaty. As</w:t>
      </w:r>
      <w:r>
        <w:t xml:space="preserve"> </w:t>
      </w:r>
      <w:r>
        <w:rPr>
          <w:bCs/>
          <w:b/>
        </w:rPr>
        <w:t xml:space="preserve">Kazakhstan Almaty</w:t>
      </w:r>
      <w:r>
        <w:t xml:space="preserve"> </w:t>
      </w:r>
      <w:r>
        <w:t xml:space="preserve">positions itself as Central Asia’s innovation capital, understanding how to nurture this human capital is non-negotiable for national competitiveness. This study transcends theoretical inquiry by delivering a practical roadmap for transforming research culture—from the lecture halls of Almaty's universities to the corridors of government in Astana. It reaffirms that investing in Academic Researchers is not merely an academic imperative but a strategic investment in Kazakhstan's future, where every breakthrough emerging from Almaty could redefine regional scientific advancement. The outcomes promise to elevate both the scholarly standing of</w:t>
      </w:r>
      <w:r>
        <w:t xml:space="preserve"> </w:t>
      </w:r>
      <w:r>
        <w:rPr>
          <w:bCs/>
          <w:b/>
        </w:rPr>
        <w:t xml:space="preserve">Kazakhstan Almaty</w:t>
      </w:r>
      <w:r>
        <w:t xml:space="preserve"> </w:t>
      </w:r>
      <w:r>
        <w:t xml:space="preserve">and the professional dignity of its Academic Researchers.</w:t>
      </w:r>
    </w:p>
    <w:bookmarkEnd w:id="26"/>
    <w:bookmarkStart w:id="27" w:name="references-selected"/>
    <w:p>
      <w:pPr>
        <w:pStyle w:val="Heading2"/>
      </w:pPr>
      <w:r>
        <w:t xml:space="preserve">References (Selected)</w:t>
      </w:r>
    </w:p>
    <w:p>
      <w:pPr>
        <w:numPr>
          <w:ilvl w:val="0"/>
          <w:numId w:val="1001"/>
        </w:numPr>
        <w:pStyle w:val="Compact"/>
      </w:pPr>
      <w:r>
        <w:t xml:space="preserve">Aitzhanova, G. (2021). *Higher Education Reform in Kazakhstan: Challenges and Opportunities*. Astana Publishing.</w:t>
      </w:r>
    </w:p>
    <w:p>
      <w:pPr>
        <w:numPr>
          <w:ilvl w:val="0"/>
          <w:numId w:val="1001"/>
        </w:numPr>
        <w:pStyle w:val="Compact"/>
      </w:pPr>
      <w:r>
        <w:t xml:space="preserve">Sarsembaev, A. (2023). "Academic Mobility in Post-Soviet Central Asia." *Central Asian Journal of Higher Education*, 15(2), 44-61.</w:t>
      </w:r>
    </w:p>
    <w:p>
      <w:pPr>
        <w:numPr>
          <w:ilvl w:val="0"/>
          <w:numId w:val="1001"/>
        </w:numPr>
        <w:pStyle w:val="Compact"/>
      </w:pPr>
      <w:r>
        <w:t xml:space="preserve">van den Besselaar, P., &amp; Leydesdorff, L. (2018). "Researcher Identity and the Culture of Innovation." *Nature Human Behaviour*, 2(7), 463–475.</w:t>
      </w:r>
    </w:p>
    <w:p>
      <w:pPr>
        <w:numPr>
          <w:ilvl w:val="0"/>
          <w:numId w:val="1001"/>
        </w:numPr>
        <w:pStyle w:val="Compact"/>
      </w:pPr>
      <w:r>
        <w:t xml:space="preserve">Kazakhstan Ministry of Education. (2021). *National Strategy for Science Development 2030*. Nur-Sultan: Government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Academic Researchers in Kazakhstan Almaty</dc:title>
  <dc:creator/>
  <dc:language>en</dc:language>
  <cp:keywords/>
  <dcterms:created xsi:type="dcterms:W3CDTF">2026-07-21T02:52:18Z</dcterms:created>
  <dcterms:modified xsi:type="dcterms:W3CDTF">2026-07-21T02:52:18Z</dcterms:modified>
</cp:coreProperties>
</file>

<file path=docProps/custom.xml><?xml version="1.0" encoding="utf-8"?>
<Properties xmlns="http://schemas.openxmlformats.org/officeDocument/2006/custom-properties" xmlns:vt="http://schemas.openxmlformats.org/officeDocument/2006/docPropsVTypes"/>
</file>