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d2b83e376aa0ad90efb9760eabc696aafeb570e"/>
    <w:p>
      <w:pPr>
        <w:pStyle w:val="Heading1"/>
      </w:pPr>
      <w:r>
        <w:t xml:space="preserve">Thesis Proposal: Strategic Development of the Academic Researcher Role within Saudi Arabia's Riyadh Innovation Ecosystem</w:t>
      </w:r>
    </w:p>
    <w:p>
      <w:pPr>
        <w:pStyle w:val="FirstParagraph"/>
      </w:pPr>
      <w:r>
        <w:rPr>
          <w:bCs/>
          <w:b/>
        </w:rPr>
        <w:t xml:space="preserve">Submitted to:</w:t>
      </w:r>
      <w:r>
        <w:t xml:space="preserve"> </w:t>
      </w:r>
      <w:r>
        <w:t xml:space="preserve">College of Graduate Studies, King Saud University, Riyadh</w:t>
      </w:r>
      <w:r>
        <w:br/>
      </w:r>
      <w:r>
        <w:rPr>
          <w:bCs/>
          <w:b/>
        </w:rPr>
        <w:t xml:space="preserve">Department:</w:t>
      </w:r>
      <w:r>
        <w:t xml:space="preserve"> </w:t>
      </w:r>
      <w:r>
        <w:t xml:space="preserve">Higher Education &amp; Research Development</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Kingdom of Saudi Arabia's Vision 2030 has placed unprecedented emphasis on transforming the national research landscape into a globally competitive engine for innovation and economic diversification. At the heart of this transformation lies the critical role of the</w:t>
      </w:r>
      <w:r>
        <w:t xml:space="preserve"> </w:t>
      </w:r>
      <w:r>
        <w:rPr>
          <w:iCs/>
          <w:i/>
        </w:rPr>
        <w:t xml:space="preserve">Academic Researcher</w:t>
      </w:r>
      <w:r>
        <w:t xml:space="preserve">, whose capabilities directly determine the quality, relevance, and impact of scholarly output. Riyadh, as the political, economic, and academic capital of Saudi Arabia, hosts major universities (King Saud University, King Abdulaziz University - Riyadh Campus), research centers (KAUST), and innovation hubs. This</w:t>
      </w:r>
      <w:r>
        <w:t xml:space="preserve"> </w:t>
      </w:r>
      <w:r>
        <w:rPr>
          <w:bCs/>
          <w:b/>
        </w:rPr>
        <w:t xml:space="preserve">Thesis Proposal</w:t>
      </w:r>
      <w:r>
        <w:t xml:space="preserve"> </w:t>
      </w:r>
      <w:r>
        <w:t xml:space="preserve">addresses a strategic gap: the systematic development of specialized skills for</w:t>
      </w:r>
      <w:r>
        <w:t xml:space="preserve"> </w:t>
      </w:r>
      <w:r>
        <w:rPr>
          <w:iCs/>
          <w:i/>
        </w:rPr>
        <w:t xml:space="preserve">Academic Researchers</w:t>
      </w:r>
      <w:r>
        <w:t xml:space="preserve"> </w:t>
      </w:r>
      <w:r>
        <w:t xml:space="preserve">operating within the unique socio-academic context of</w:t>
      </w:r>
      <w:r>
        <w:t xml:space="preserve"> </w:t>
      </w:r>
      <w:r>
        <w:rPr>
          <w:bCs/>
          <w:b/>
        </w:rPr>
        <w:t xml:space="preserve">Saudi Arabia Riyadh</w:t>
      </w:r>
      <w:r>
        <w:t xml:space="preserve">. Current researcher training often emphasizes traditional academic outputs without sufficient focus on translational research, interdisciplinary collaboration, and alignment with national priorities—needs acutely felt in Riyadh's rapidly evolving knowledge economy.</w:t>
      </w:r>
    </w:p>
    <w:bookmarkEnd w:id="20"/>
    <w:bookmarkStart w:id="21" w:name="ii.-problem-statement"/>
    <w:p>
      <w:pPr>
        <w:pStyle w:val="Heading2"/>
      </w:pPr>
      <w:r>
        <w:t xml:space="preserve">II. Problem Statement</w:t>
      </w:r>
    </w:p>
    <w:p>
      <w:pPr>
        <w:pStyle w:val="FirstParagraph"/>
      </w:pPr>
      <w:r>
        <w:t xml:space="preserve">Despite significant investment in research infrastructure across</w:t>
      </w:r>
      <w:r>
        <w:t xml:space="preserve"> </w:t>
      </w:r>
      <w:r>
        <w:rPr>
          <w:bCs/>
          <w:b/>
        </w:rPr>
        <w:t xml:space="preserve">Saudi Arabia Riyadh</w:t>
      </w:r>
      <w:r>
        <w:t xml:space="preserve">, a persistent challenge exists in the quality and societal impact of research outputs. Data from the King Abdullah University of Science and Technology (KAUST) and the Saudi Ministry of Education indicate that while publication volume has increased, metrics like industry partnerships, patent filings, policy influence, and community impact remain below regional benchmarks. A key contributing factor is the underdeveloped professional identity and skillset of many</w:t>
      </w:r>
      <w:r>
        <w:t xml:space="preserve"> </w:t>
      </w:r>
      <w:r>
        <w:rPr>
          <w:iCs/>
          <w:i/>
        </w:rPr>
        <w:t xml:space="preserve">Academic Researchers</w:t>
      </w:r>
      <w:r>
        <w:t xml:space="preserve"> </w:t>
      </w:r>
      <w:r>
        <w:t xml:space="preserve">in Riyadh institutions. Many researchers are trained primarily for traditional academic roles but lack: 1) Strategic alignment with Vision 2030's thematic priorities (e.g., energy, health, AI); 2) Advanced methodologies for collaborative, problem-based research; 3) Communication skills tailored to diverse Saudi stakeholders (government bodies, industry leaders, public audiences); and 4) Understanding of ethical frameworks specific to the Saudi context. This gap impedes Riyadh from becoming the undisputed knowledge hub envisioned in Vision 2030.</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develop and validate a comprehensive competency framework for the modern</w:t>
      </w:r>
      <w:r>
        <w:t xml:space="preserve"> </w:t>
      </w:r>
      <w:r>
        <w:rPr>
          <w:iCs/>
          <w:i/>
        </w:rPr>
        <w:t xml:space="preserve">Academic Researcher</w:t>
      </w:r>
      <w:r>
        <w:t xml:space="preserve"> </w:t>
      </w:r>
      <w:r>
        <w:t xml:space="preserve">within the specific environment of</w:t>
      </w:r>
      <w:r>
        <w:t xml:space="preserve"> </w:t>
      </w:r>
      <w:r>
        <w:rPr>
          <w:bCs/>
          <w:b/>
        </w:rPr>
        <w:t xml:space="preserve">Saudi Arabia Riyadh</w:t>
      </w:r>
      <w:r>
        <w:t xml:space="preserve">. Specific objectives are:</w:t>
      </w:r>
    </w:p>
    <w:p>
      <w:pPr>
        <w:numPr>
          <w:ilvl w:val="0"/>
          <w:numId w:val="1001"/>
        </w:numPr>
        <w:pStyle w:val="Compact"/>
      </w:pPr>
      <w:r>
        <w:rPr>
          <w:bCs/>
          <w:b/>
        </w:rPr>
        <w:t xml:space="preserve">To analyze</w:t>
      </w:r>
      <w:r>
        <w:t xml:space="preserve"> </w:t>
      </w:r>
      <w:r>
        <w:t xml:space="preserve">current researcher competencies, training gaps, and institutional support systems across major Riyadh universities through mixed-methods research (surveys, focus groups with 150+ researchers).</w:t>
      </w:r>
    </w:p>
    <w:p>
      <w:pPr>
        <w:numPr>
          <w:ilvl w:val="0"/>
          <w:numId w:val="1001"/>
        </w:numPr>
        <w:pStyle w:val="Compact"/>
      </w:pPr>
      <w:r>
        <w:rPr>
          <w:bCs/>
          <w:b/>
        </w:rPr>
        <w:t xml:space="preserve">To co-create</w:t>
      </w:r>
      <w:r>
        <w:t xml:space="preserve"> </w:t>
      </w:r>
      <w:r>
        <w:t xml:space="preserve">a contextualized competency framework defining essential skills for an</w:t>
      </w:r>
      <w:r>
        <w:t xml:space="preserve"> </w:t>
      </w:r>
      <w:r>
        <w:rPr>
          <w:iCs/>
          <w:i/>
        </w:rPr>
        <w:t xml:space="preserve">Academic Researcher</w:t>
      </w:r>
      <w:r>
        <w:t xml:space="preserve"> </w:t>
      </w:r>
      <w:r>
        <w:t xml:space="preserve">in Saudi Arabia Riyadh, integrating Vision 2030 goals, cultural nuances, and global best practices.</w:t>
      </w:r>
    </w:p>
    <w:p>
      <w:pPr>
        <w:numPr>
          <w:ilvl w:val="0"/>
          <w:numId w:val="1001"/>
        </w:numPr>
        <w:pStyle w:val="Compact"/>
      </w:pPr>
      <w:r>
        <w:rPr>
          <w:bCs/>
          <w:b/>
        </w:rPr>
        <w:t xml:space="preserve">To design and pilot</w:t>
      </w:r>
      <w:r>
        <w:t xml:space="preserve"> </w:t>
      </w:r>
      <w:r>
        <w:t xml:space="preserve">a scalable professional development program targeting early-to-mid-career researchers in Riyadh institutions.</w:t>
      </w:r>
    </w:p>
    <w:p>
      <w:pPr>
        <w:numPr>
          <w:ilvl w:val="0"/>
          <w:numId w:val="1001"/>
        </w:numPr>
        <w:pStyle w:val="Compact"/>
      </w:pPr>
      <w:r>
        <w:rPr>
          <w:bCs/>
          <w:b/>
        </w:rPr>
        <w:t xml:space="preserve">To evaluate</w:t>
      </w:r>
      <w:r>
        <w:t xml:space="preserve"> </w:t>
      </w:r>
      <w:r>
        <w:t xml:space="preserve">the program's impact on research output quality, collaboration rates, stakeholder engagement, and alignment with national strategic priorities within 18 months of implementation.</w:t>
      </w:r>
    </w:p>
    <w:bookmarkEnd w:id="22"/>
    <w:bookmarkStart w:id="23" w:name="iv.-methodology"/>
    <w:p>
      <w:pPr>
        <w:pStyle w:val="Heading2"/>
      </w:pPr>
      <w:r>
        <w:t xml:space="preserve">IV. Methodology</w:t>
      </w:r>
    </w:p>
    <w:p>
      <w:pPr>
        <w:pStyle w:val="FirstParagraph"/>
      </w:pPr>
      <w:r>
        <w:t xml:space="preserve">The research adopts a pragmatic paradigm, utilizing sequential mixed methods for robustness:</w:t>
      </w:r>
    </w:p>
    <w:p>
      <w:pPr>
        <w:numPr>
          <w:ilvl w:val="0"/>
          <w:numId w:val="1002"/>
        </w:numPr>
        <w:pStyle w:val="Compact"/>
      </w:pPr>
      <w:r>
        <w:rPr>
          <w:bCs/>
          <w:b/>
        </w:rPr>
        <w:t xml:space="preserve">Phase 1 (Qualitative):</w:t>
      </w:r>
      <w:r>
        <w:t xml:space="preserve"> </w:t>
      </w:r>
      <w:r>
        <w:t xml:space="preserve">In-depth interviews with 30+ key stakeholders in Riyadh (university R&amp;D deans, industry R&amp;D leads, Ministry of Education officials) to identify critical success factors and contextual barriers for the</w:t>
      </w:r>
      <w:r>
        <w:t xml:space="preserve"> </w:t>
      </w:r>
      <w:r>
        <w:rPr>
          <w:iCs/>
          <w:i/>
        </w:rPr>
        <w:t xml:space="preserve">Academic Researcher</w:t>
      </w:r>
      <w:r>
        <w:t xml:space="preserve">.</w:t>
      </w:r>
    </w:p>
    <w:p>
      <w:pPr>
        <w:numPr>
          <w:ilvl w:val="0"/>
          <w:numId w:val="1002"/>
        </w:numPr>
        <w:pStyle w:val="Compact"/>
      </w:pPr>
      <w:r>
        <w:rPr>
          <w:bCs/>
          <w:b/>
        </w:rPr>
        <w:t xml:space="preserve">Phase 2 (Quantitative):</w:t>
      </w:r>
      <w:r>
        <w:t xml:space="preserve"> </w:t>
      </w:r>
      <w:r>
        <w:t xml:space="preserve">A structured survey distributed to all researchers at 5 major Riyadh universities (approx. 1,200 respondents) assessing current competencies, training needs, and perceived institutional support.</w:t>
      </w:r>
    </w:p>
    <w:p>
      <w:pPr>
        <w:numPr>
          <w:ilvl w:val="0"/>
          <w:numId w:val="1002"/>
        </w:numPr>
        <w:pStyle w:val="Compact"/>
      </w:pPr>
      <w:r>
        <w:rPr>
          <w:bCs/>
          <w:b/>
        </w:rPr>
        <w:t xml:space="preserve">Phase 3 (Design &amp; Action):</w:t>
      </w:r>
      <w:r>
        <w:t xml:space="preserve"> </w:t>
      </w:r>
      <w:r>
        <w:t xml:space="preserve">Collaborative workshops in Riyadh with a cross-section of researchers to co-design the competency framework and pilot program modules.</w:t>
      </w:r>
    </w:p>
    <w:p>
      <w:pPr>
        <w:numPr>
          <w:ilvl w:val="0"/>
          <w:numId w:val="1002"/>
        </w:numPr>
        <w:pStyle w:val="Compact"/>
      </w:pPr>
      <w:r>
        <w:rPr>
          <w:bCs/>
          <w:b/>
        </w:rPr>
        <w:t xml:space="preserve">Phase 4 (Evaluation):</w:t>
      </w:r>
      <w:r>
        <w:t xml:space="preserve"> </w:t>
      </w:r>
      <w:r>
        <w:t xml:space="preserve">Pre- and post-intervention assessments, tracking metrics like grant applications aligned with Vision 2030, industry partnership formations, and policy briefs produced by participants over 18 months.</w:t>
      </w:r>
    </w:p>
    <w:bookmarkEnd w:id="23"/>
    <w:bookmarkStart w:id="24"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Thesis Proposal</w:t>
      </w:r>
      <w:r>
        <w:t xml:space="preserve"> </w:t>
      </w:r>
      <w:r>
        <w:t xml:space="preserve">delivers transformative significance for the research ecosystem in</w:t>
      </w:r>
      <w:r>
        <w:t xml:space="preserve"> </w:t>
      </w:r>
      <w:r>
        <w:rPr>
          <w:bCs/>
          <w:b/>
        </w:rPr>
        <w:t xml:space="preserve">Saudi Arabia Riyadh</w:t>
      </w:r>
      <w:r>
        <w:t xml:space="preserve">:</w:t>
      </w:r>
    </w:p>
    <w:p>
      <w:pPr>
        <w:numPr>
          <w:ilvl w:val="0"/>
          <w:numId w:val="1003"/>
        </w:numPr>
        <w:pStyle w:val="Compact"/>
      </w:pPr>
      <w:r>
        <w:rPr>
          <w:iCs/>
          <w:i/>
        </w:rPr>
        <w:t xml:space="preserve">For Institutions:</w:t>
      </w:r>
      <w:r>
        <w:t xml:space="preserve"> </w:t>
      </w:r>
      <w:r>
        <w:t xml:space="preserve">Provides Riyadh-based universities with a validated, culturally-responsive model to enhance researcher productivity and impact, directly supporting institutional rankings and funding eligibility under Vision 2030.</w:t>
      </w:r>
    </w:p>
    <w:p>
      <w:pPr>
        <w:numPr>
          <w:ilvl w:val="0"/>
          <w:numId w:val="1003"/>
        </w:numPr>
        <w:pStyle w:val="Compact"/>
      </w:pPr>
      <w:r>
        <w:rPr>
          <w:iCs/>
          <w:i/>
        </w:rPr>
        <w:t xml:space="preserve">For the Academic Researcher:</w:t>
      </w:r>
      <w:r>
        <w:t xml:space="preserve"> </w:t>
      </w:r>
      <w:r>
        <w:t xml:space="preserve">Empowers researchers with a clear career roadmap and targeted skills (e.g., cross-sector communication, problem-framing for local challenges), elevating their professional value beyond traditional academia.</w:t>
      </w:r>
    </w:p>
    <w:p>
      <w:pPr>
        <w:numPr>
          <w:ilvl w:val="0"/>
          <w:numId w:val="1003"/>
        </w:numPr>
        <w:pStyle w:val="Compact"/>
      </w:pPr>
      <w:r>
        <w:rPr>
          <w:iCs/>
          <w:i/>
        </w:rPr>
        <w:t xml:space="preserve">For National Strategy:</w:t>
      </w:r>
      <w:r>
        <w:t xml:space="preserve"> </w:t>
      </w:r>
      <w:r>
        <w:t xml:space="preserve">Ensures research in Riyadh is strategically directed towards solving national priorities (e.g., water security, health system innovation), maximizing the return on massive public R&amp;D investments. The framework will be publicly available as a national resource.</w:t>
      </w:r>
    </w:p>
    <w:p>
      <w:pPr>
        <w:numPr>
          <w:ilvl w:val="0"/>
          <w:numId w:val="1003"/>
        </w:numPr>
        <w:pStyle w:val="Compact"/>
      </w:pPr>
      <w:r>
        <w:rPr>
          <w:iCs/>
          <w:i/>
        </w:rPr>
        <w:t xml:space="preserve">For Knowledge Economy:</w:t>
      </w:r>
      <w:r>
        <w:t xml:space="preserve"> </w:t>
      </w:r>
      <w:r>
        <w:t xml:space="preserve">Fosters stronger industry-academia linkages in Riyadh, accelerating technology transfer and contributing to sustainable economic diversification.</w:t>
      </w:r>
    </w:p>
    <w:bookmarkEnd w:id="24"/>
    <w:bookmarkStart w:id="25" w:name="X18d1ab4cdca734588d9a114fd3da6118eb4c27d"/>
    <w:p>
      <w:pPr>
        <w:pStyle w:val="Heading2"/>
      </w:pPr>
      <w:r>
        <w:t xml:space="preserve">VI. Contextual Relevance to Saudi Arabia Riyadh</w:t>
      </w:r>
    </w:p>
    <w:p>
      <w:pPr>
        <w:pStyle w:val="FirstParagraph"/>
      </w:pPr>
      <w:r>
        <w:t xml:space="preserve">Riyadh is not merely a geographic location for this study; it is the epicenter of Saudi Arabia's academic transformation. The city hosts 60% of the Kingdom's universities and over 70% of its research funding. Initiatives like the King Abdullah City for Atomic and Renewable Energy (KACARE) and Riyadh Front Innovation District provide fertile ground for applied research. However, without a dedicated focus on evolving the</w:t>
      </w:r>
      <w:r>
        <w:t xml:space="preserve"> </w:t>
      </w:r>
      <w:r>
        <w:rPr>
          <w:iCs/>
          <w:i/>
        </w:rPr>
        <w:t xml:space="preserve">Academic Researcher</w:t>
      </w:r>
      <w:r>
        <w:t xml:space="preserve">'s role to meet these new demands, Riyadh risks having high infrastructure but low strategic impact. This thesis directly responds to the Kingdom's National Strategy for Science, Technology and Innovation (2020-2030), which explicitly calls for "enhancing the capacity and performance of researchers" as a top priority. It moves beyond generic researcher training to create a model deeply embedded in Riyadh's specific academic, cultural, and strategic realities.</w:t>
      </w:r>
    </w:p>
    <w:bookmarkEnd w:id="25"/>
    <w:bookmarkStart w:id="26" w:name="vii.-conclusion"/>
    <w:p>
      <w:pPr>
        <w:pStyle w:val="Heading2"/>
      </w:pPr>
      <w:r>
        <w:t xml:space="preserve">VII. Conclusion</w:t>
      </w:r>
    </w:p>
    <w:p>
      <w:pPr>
        <w:pStyle w:val="FirstParagraph"/>
      </w:pPr>
      <w:r>
        <w:t xml:space="preserve">This</w:t>
      </w:r>
      <w:r>
        <w:t xml:space="preserve"> </w:t>
      </w:r>
      <w:r>
        <w:rPr>
          <w:bCs/>
          <w:b/>
        </w:rPr>
        <w:t xml:space="preserve">Thesis Proposal</w:t>
      </w:r>
      <w:r>
        <w:t xml:space="preserve"> </w:t>
      </w:r>
      <w:r>
        <w:t xml:space="preserve">presents a timely and necessary investigation into the critical role of the modern</w:t>
      </w:r>
      <w:r>
        <w:t xml:space="preserve"> </w:t>
      </w:r>
      <w:r>
        <w:rPr>
          <w:iCs/>
          <w:i/>
        </w:rPr>
        <w:t xml:space="preserve">Academic Researcher</w:t>
      </w:r>
      <w:r>
        <w:t xml:space="preserve">. By focusing exclusively on the dynamic environment of</w:t>
      </w:r>
      <w:r>
        <w:t xml:space="preserve"> </w:t>
      </w:r>
      <w:r>
        <w:rPr>
          <w:bCs/>
          <w:b/>
        </w:rPr>
        <w:t xml:space="preserve">Saudi Arabia Riyadh</w:t>
      </w:r>
      <w:r>
        <w:t xml:space="preserve">, it addresses a gap with immediate, high-impact potential for national development. The proposed research will yield not just an academic contribution, but a practical, implementable framework that directly supports the Kingdom's Vision 2030 goals through its most vital asset: its researchers. Successfully developing this competency model in Riyadh will establish a replicable blueprint for other regions within Saudi Arabia and serve as a benchmark for similar national research ecosystems globally. This work is not merely an academic exercise; it is a strategic investment in positioning Riyadh—and by extension,</w:t>
      </w:r>
      <w:r>
        <w:t xml:space="preserve"> </w:t>
      </w:r>
      <w:r>
        <w:rPr>
          <w:bCs/>
          <w:b/>
        </w:rPr>
        <w:t xml:space="preserve">Saudi Arabia</w:t>
      </w:r>
      <w:r>
        <w:t xml:space="preserve">—at the forefront of 21st-century knowledge creation and application.</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Saudi Arabia Riyadh</dc:title>
  <dc:creator/>
  <dc:language>en</dc:language>
  <cp:keywords/>
  <dcterms:created xsi:type="dcterms:W3CDTF">2026-07-23T01:01:00Z</dcterms:created>
  <dcterms:modified xsi:type="dcterms:W3CDTF">2026-07-23T01:01:00Z</dcterms:modified>
</cp:coreProperties>
</file>

<file path=docProps/custom.xml><?xml version="1.0" encoding="utf-8"?>
<Properties xmlns="http://schemas.openxmlformats.org/officeDocument/2006/custom-properties" xmlns:vt="http://schemas.openxmlformats.org/officeDocument/2006/docPropsVTypes"/>
</file>