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9" w:name="X6367e1b242292dbfa127101655cf1053a868b56"/>
    <w:p>
      <w:pPr>
        <w:pStyle w:val="Heading1"/>
      </w:pPr>
      <w:r>
        <w:t xml:space="preserve">Thesis Proposal: Enhancing the Professional Development Framework for Academic Researchers in Ankara, Turkey</w:t>
      </w:r>
    </w:p>
    <w:bookmarkStart w:id="20" w:name="introduction-and-contextual-background"/>
    <w:p>
      <w:pPr>
        <w:pStyle w:val="Heading2"/>
      </w:pPr>
      <w:r>
        <w:t xml:space="preserve">1. Introduction and Contextual Background</w:t>
      </w:r>
    </w:p>
    <w:p>
      <w:pPr>
        <w:pStyle w:val="FirstParagraph"/>
      </w:pPr>
      <w:r>
        <w:t xml:space="preserve">The landscape of higher education and research in</w:t>
      </w:r>
      <w:r>
        <w:t xml:space="preserve"> </w:t>
      </w:r>
      <w:r>
        <w:rPr>
          <w:bCs/>
          <w:b/>
        </w:rPr>
        <w:t xml:space="preserve">Turkey Ankara</w:t>
      </w:r>
      <w:r>
        <w:t xml:space="preserve"> </w:t>
      </w:r>
      <w:r>
        <w:t xml:space="preserve">has undergone significant transformation since the 2013 Higher Education Council reforms. As the nation positions itself as a regional hub for innovation within the broader Middle Eastern academic sphere, Ankara—home to Turkey's most prestigious institutions like Hacettepe University, Middle East Technical University (METU), and Bilkent University—faces critical challenges in sustaining world-class research output. This</w:t>
      </w:r>
      <w:r>
        <w:t xml:space="preserve"> </w:t>
      </w:r>
      <w:r>
        <w:rPr>
          <w:bCs/>
          <w:b/>
        </w:rPr>
        <w:t xml:space="preserve">Thesis Proposal</w:t>
      </w:r>
      <w:r>
        <w:t xml:space="preserve"> </w:t>
      </w:r>
      <w:r>
        <w:t xml:space="preserve">addresses a pressing gap: the lack of context-specific professional development frameworks tailored for</w:t>
      </w:r>
      <w:r>
        <w:t xml:space="preserve"> </w:t>
      </w:r>
      <w:r>
        <w:rPr>
          <w:bCs/>
          <w:b/>
        </w:rPr>
        <w:t xml:space="preserve">Academic Researcher</w:t>
      </w:r>
      <w:r>
        <w:t xml:space="preserve">s operating within Turkey's unique socio-academic ecosystem. While global models exist, they often overlook Ankara's distinct institutional culture, funding structures, and interdisciplinary collaboration dynamics. This research will establish an evidence-based framework to elevate the capabilities of academic professionals in one of Turkey's most vital knowledge centers.</w:t>
      </w:r>
    </w:p>
    <w:bookmarkEnd w:id="20"/>
    <w:bookmarkStart w:id="21" w:name="problem-statement-and-research-gap"/>
    <w:p>
      <w:pPr>
        <w:pStyle w:val="Heading2"/>
      </w:pPr>
      <w:r>
        <w:t xml:space="preserve">2. Problem Statement and Research Gap</w:t>
      </w:r>
    </w:p>
    <w:p>
      <w:pPr>
        <w:pStyle w:val="FirstParagraph"/>
      </w:pPr>
      <w:r>
        <w:t xml:space="preserve">Current literature on academic researcher development primarily draws from Western contexts (e.g., OECD reports, EU Horizon frameworks), neglecting the nuanced realities of Turkish academia. A 2023 TÜBİTAK survey revealed that 68% of Ankara-based researchers report inadequate training in grant writing, cross-institutional collaboration, and ethical research management—factors directly linked to Turkey's suboptimal global research impact ranking (49th worldwide per Nature Index). Crucially, no study has systematically analyzed how Ankara-specific institutional policies influence researcher competency development. This</w:t>
      </w:r>
      <w:r>
        <w:t xml:space="preserve"> </w:t>
      </w:r>
      <w:r>
        <w:rPr>
          <w:bCs/>
          <w:b/>
        </w:rPr>
        <w:t xml:space="preserve">Thesis Proposal</w:t>
      </w:r>
      <w:r>
        <w:t xml:space="preserve"> </w:t>
      </w:r>
      <w:r>
        <w:t xml:space="preserve">thus fills a critical void by interrogating: *How can we design an adaptive professional growth model that aligns with Turkey's national research priorities while addressing Ankara's institutional peculiarities?*</w:t>
      </w:r>
    </w:p>
    <w:bookmarkEnd w:id="21"/>
    <w:bookmarkStart w:id="22" w:name="literature-review-ankara-turkey-lens"/>
    <w:p>
      <w:pPr>
        <w:pStyle w:val="Heading2"/>
      </w:pPr>
      <w:r>
        <w:t xml:space="preserve">3. Literature Review (Ankara-Turkey Lens)</w:t>
      </w:r>
    </w:p>
    <w:p>
      <w:pPr>
        <w:pStyle w:val="FirstParagraph"/>
      </w:pPr>
      <w:r>
        <w:t xml:space="preserve">Existing scholarship on academic careers falls into two categories: Western-centric models and limited Turkish case studies. While works by Zohar (2018) on "Researcher Identity Formation" provide valuable theory, they lack Ankara context. Recent Turkish studies (e.g., Yılmaz &amp; Kaya, 2022) examine faculty workload but ignore researcher-specific needs. This gap is particularly acute in Ankara where institutions navigate complex relationships between state funding bodies (TÜBİTAK), EU-aligned projects (Horizon Europe), and local industry partnerships. Our research will synthesize these strands while introducing a novel Ankara-focused analytical framework, bridging global best practices with Turkey's unique academic governance structure.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aims to develop a scalable competency model for Academic Researchers in Turkey Ankara through these specific objectives:</w:t>
      </w:r>
    </w:p>
    <w:p>
      <w:pPr>
        <w:numPr>
          <w:ilvl w:val="0"/>
          <w:numId w:val="1001"/>
        </w:numPr>
        <w:pStyle w:val="Compact"/>
      </w:pPr>
      <w:r>
        <w:t xml:space="preserve">To map current professional development pathways across 5 flagship Ankara universities using mixed methods.</w:t>
      </w:r>
    </w:p>
    <w:p>
      <w:pPr>
        <w:numPr>
          <w:ilvl w:val="0"/>
          <w:numId w:val="1001"/>
        </w:numPr>
        <w:pStyle w:val="Compact"/>
      </w:pPr>
      <w:r>
        <w:t xml:space="preserve">To identify institutional barriers (funding, tenure structures, cultural factors) hindering researcher efficacy.</w:t>
      </w:r>
    </w:p>
    <w:p>
      <w:pPr>
        <w:numPr>
          <w:ilvl w:val="0"/>
          <w:numId w:val="1001"/>
        </w:numPr>
        <w:pStyle w:val="Compact"/>
      </w:pPr>
      <w:r>
        <w:t xml:space="preserve">To co-design a context-responsive competency framework with Ankara-based Academic Researchers and university leaders.</w:t>
      </w:r>
    </w:p>
    <w:p>
      <w:pPr>
        <w:pStyle w:val="FirstParagraph"/>
      </w:pPr>
      <w:r>
        <w:t xml:space="preserve">Key research questions include:</w:t>
      </w:r>
    </w:p>
    <w:p>
      <w:pPr>
        <w:numPr>
          <w:ilvl w:val="0"/>
          <w:numId w:val="1002"/>
        </w:numPr>
        <w:pStyle w:val="Compact"/>
      </w:pPr>
      <w:r>
        <w:t xml:space="preserve">How do Ankara's institutional hierarchies affect access to development opportunities?</w:t>
      </w:r>
    </w:p>
    <w:p>
      <w:pPr>
        <w:numPr>
          <w:ilvl w:val="0"/>
          <w:numId w:val="1002"/>
        </w:numPr>
        <w:pStyle w:val="Compact"/>
      </w:pPr>
      <w:r>
        <w:t xml:space="preserve">To what extent does Turkey's national R&amp;D policy (2023-2030) align with researcher capacity needs?</w:t>
      </w:r>
    </w:p>
    <w:p>
      <w:pPr>
        <w:numPr>
          <w:ilvl w:val="0"/>
          <w:numId w:val="1002"/>
        </w:numPr>
        <w:pStyle w:val="Compact"/>
      </w:pPr>
      <w:r>
        <w:t xml:space="preserve">What hybrid training models could optimize collaboration between Ankara's universities and international networks?</w:t>
      </w:r>
    </w:p>
    <w:bookmarkEnd w:id="23"/>
    <w:bookmarkStart w:id="24" w:name="methodology"/>
    <w:p>
      <w:pPr>
        <w:pStyle w:val="Heading2"/>
      </w:pPr>
      <w:r>
        <w:t xml:space="preserve">5. Methodology</w:t>
      </w:r>
    </w:p>
    <w:p>
      <w:pPr>
        <w:pStyle w:val="FirstParagraph"/>
      </w:pPr>
      <w:r>
        <w:t xml:space="preserve">A three-phase mixed-methods approach will ensure rigor within Turkey Ankara's context:</w:t>
      </w:r>
    </w:p>
    <w:p>
      <w:pPr>
        <w:numPr>
          <w:ilvl w:val="0"/>
          <w:numId w:val="1003"/>
        </w:numPr>
        <w:pStyle w:val="Compact"/>
      </w:pPr>
      <w:r>
        <w:rPr>
          <w:bCs/>
          <w:b/>
        </w:rPr>
        <w:t xml:space="preserve">Phase 1: Institutional Analysis (Months 1-4)</w:t>
      </w:r>
      <w:r>
        <w:t xml:space="preserve"> </w:t>
      </w:r>
      <w:r>
        <w:t xml:space="preserve">– Systematic review of Ankara university HR policies, TÜBİTAK funding databases, and national research strategy documents. This establishes the policy backdrop for our framework.</w:t>
      </w:r>
    </w:p>
    <w:p>
      <w:pPr>
        <w:numPr>
          <w:ilvl w:val="0"/>
          <w:numId w:val="1003"/>
        </w:numPr>
        <w:pStyle w:val="Compact"/>
      </w:pPr>
      <w:r>
        <w:rPr>
          <w:bCs/>
          <w:b/>
        </w:rPr>
        <w:t xml:space="preserve">Phase 2: Qualitative Fieldwork (Months 5-10)</w:t>
      </w:r>
      <w:r>
        <w:t xml:space="preserve"> </w:t>
      </w:r>
      <w:r>
        <w:t xml:space="preserve">– Semi-structured interviews with 45+ Ankara-based Academic Researchers across STEM, social sciences, and humanities; focus groups with university research officers. Sampling will ensure representation from public (e.g., Ankara University), private (e.g., TOBB University), and international partner institutions.</w:t>
      </w:r>
    </w:p>
    <w:p>
      <w:pPr>
        <w:numPr>
          <w:ilvl w:val="0"/>
          <w:numId w:val="1003"/>
        </w:numPr>
        <w:pStyle w:val="Compact"/>
      </w:pPr>
      <w:r>
        <w:rPr>
          <w:bCs/>
          <w:b/>
        </w:rPr>
        <w:t xml:space="preserve">Phase 3: Co-Creation Workshop (Months 11-14)</w:t>
      </w:r>
      <w:r>
        <w:t xml:space="preserve"> </w:t>
      </w:r>
      <w:r>
        <w:t xml:space="preserve">– Iterative design sessions in Ankara involving researchers, department heads, and TÜBİTAK representatives to prototype the competency framework. Validation through Delphi method with Turkish academic stakeholders.</w:t>
      </w:r>
    </w:p>
    <w:p>
      <w:pPr>
        <w:pStyle w:val="FirstParagraph"/>
      </w:pPr>
      <w:r>
        <w:t xml:space="preserve">Data analysis will employ thematic coding for qualitative data and structural equation modeling for institutional metrics. All fieldwork will comply with Turkey's Ethics Committee standards (2021), prioritizing researcher confidentiality within Ankara's academic community.</w:t>
      </w:r>
    </w:p>
    <w:bookmarkEnd w:id="24"/>
    <w:bookmarkStart w:id="25" w:name="expected-contributions-to-turkey-ankara"/>
    <w:p>
      <w:pPr>
        <w:pStyle w:val="Heading2"/>
      </w:pPr>
      <w:r>
        <w:t xml:space="preserve">6. Expected Contributions to Turkey Ankara</w:t>
      </w:r>
    </w:p>
    <w:p>
      <w:pPr>
        <w:pStyle w:val="FirstParagraph"/>
      </w:pPr>
      <w:r>
        <w:t xml:space="preserve">This research promises transformative value for</w:t>
      </w:r>
      <w:r>
        <w:t xml:space="preserve"> </w:t>
      </w:r>
      <w:r>
        <w:rPr>
          <w:bCs/>
          <w:b/>
        </w:rPr>
        <w:t xml:space="preserve">Turkey Ankara</w:t>
      </w:r>
      <w:r>
        <w:t xml:space="preserve"> </w:t>
      </w:r>
      <w:r>
        <w:t xml:space="preserve">as a knowledge hub:</w:t>
      </w:r>
    </w:p>
    <w:p>
      <w:pPr>
        <w:numPr>
          <w:ilvl w:val="0"/>
          <w:numId w:val="1004"/>
        </w:numPr>
        <w:pStyle w:val="Compact"/>
      </w:pPr>
      <w:r>
        <w:rPr>
          <w:iCs/>
          <w:i/>
        </w:rPr>
        <w:t xml:space="preserve">Institutional Impact:</w:t>
      </w:r>
      <w:r>
        <w:t xml:space="preserve"> </w:t>
      </w:r>
      <w:r>
        <w:t xml:space="preserve">The proposed framework will provide Ankara universities with an actionable tool to redesign researcher training programs, directly supporting Turkey's goal of becoming a top 20 global research nation by 2035.</w:t>
      </w:r>
    </w:p>
    <w:p>
      <w:pPr>
        <w:numPr>
          <w:ilvl w:val="0"/>
          <w:numId w:val="1004"/>
        </w:numPr>
        <w:pStyle w:val="Compact"/>
      </w:pPr>
      <w:r>
        <w:rPr>
          <w:iCs/>
          <w:i/>
        </w:rPr>
        <w:t xml:space="preserve">Policy Relevance:</w:t>
      </w:r>
      <w:r>
        <w:t xml:space="preserve"> </w:t>
      </w:r>
      <w:r>
        <w:t xml:space="preserve">Findings will inform TÜBİTAK’s upcoming "Researcher Excellence Strategy," addressing current misalignments between national goals and ground-level implementation in Ankara.</w:t>
      </w:r>
    </w:p>
    <w:p>
      <w:pPr>
        <w:numPr>
          <w:ilvl w:val="0"/>
          <w:numId w:val="1004"/>
        </w:numPr>
        <w:pStyle w:val="Compact"/>
      </w:pPr>
      <w:r>
        <w:rPr>
          <w:iCs/>
          <w:i/>
        </w:rPr>
        <w:t xml:space="preserve">Global Integration:</w:t>
      </w:r>
      <w:r>
        <w:t xml:space="preserve"> </w:t>
      </w:r>
      <w:r>
        <w:t xml:space="preserve">By emphasizing cross-border collaboration modules, the framework will enhance Ankara researchers' competitiveness in EU Horizon programs and MENA academic networks.</w:t>
      </w:r>
    </w:p>
    <w:p>
      <w:pPr>
        <w:numPr>
          <w:ilvl w:val="0"/>
          <w:numId w:val="1004"/>
        </w:numPr>
        <w:pStyle w:val="Compact"/>
      </w:pPr>
      <w:r>
        <w:rPr>
          <w:iCs/>
          <w:i/>
        </w:rPr>
        <w:t xml:space="preserve">Social Value:</w:t>
      </w:r>
      <w:r>
        <w:t xml:space="preserve"> </w:t>
      </w:r>
      <w:r>
        <w:t xml:space="preserve">Addressing researcher burnout through structured professional development will improve retention—critical for Turkey's efforts to reverse brain drain, particularly in high-demand fields like AI and renewable energy where Ankara leads national capacity.</w:t>
      </w:r>
    </w:p>
    <w:bookmarkEnd w:id="25"/>
    <w:bookmarkStart w:id="26" w:name="timeline-and-work-plan"/>
    <w:p>
      <w:pPr>
        <w:pStyle w:val="Heading2"/>
      </w:pPr>
      <w:r>
        <w:t xml:space="preserve">7. Timeline and Work Plan</w:t>
      </w:r>
    </w:p>
    <w:p>
      <w:pPr>
        <w:pStyle w:val="FirstParagraph"/>
      </w:pPr>
      <w:r>
        <w:t xml:space="preserve">The proposed 18-month project aligns with Turkey's academic calendar:</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Institutional Analysis</w:t>
      </w:r>
    </w:p>
    <w:p>
      <w:pPr>
        <w:pStyle w:val="BodyText"/>
      </w:pPr>
      <w:r>
        <w:t xml:space="preserve">1-4</w:t>
      </w:r>
    </w:p>
    <w:p>
      <w:pPr>
        <w:pStyle w:val="BodyText"/>
      </w:pPr>
      <w:r>
        <w:t xml:space="preserve">National policy matrix; Ankara university comparison report</w:t>
      </w:r>
    </w:p>
    <w:p>
      <w:pPr>
        <w:pStyle w:val="BodyText"/>
      </w:pPr>
      <w:r>
        <w:t xml:space="preserve">Fieldwork &amp; Data Collection</w:t>
      </w:r>
    </w:p>
    <w:p>
      <w:pPr>
        <w:pStyle w:val="BodyText"/>
      </w:pPr>
      <w:r>
        <w:t xml:space="preserve">5-10</w:t>
      </w:r>
    </w:p>
    <w:p>
      <w:pPr>
        <w:pStyle w:val="BodyText"/>
      </w:pPr>
      <w:r>
        <w:t xml:space="preserve">Framework Development (Co-Creation)</w:t>
      </w:r>
    </w:p>
    <w:p>
      <w:pPr>
        <w:pStyle w:val="BodyText"/>
      </w:pPr>
      <w:r>
        <w:t xml:space="preserve">11-14</w:t>
      </w:r>
    </w:p>
    <w:p>
      <w:pPr>
        <w:pStyle w:val="BodyText"/>
      </w:pPr>
      <w:r>
        <w:t xml:space="preserve">Ankara-specific competency model draft + validation report</w:t>
      </w:r>
    </w:p>
    <w:p>
      <w:pPr>
        <w:pStyle w:val="BodyText"/>
      </w:pPr>
      <w:r>
        <w:t xml:space="preserve">Dissemination &amp; Policy Engagement</w:t>
      </w:r>
    </w:p>
    <w:p>
      <w:pPr>
        <w:pStyle w:val="BodyText"/>
      </w:pPr>
      <w:r>
        <w:t xml:space="preserve">15-18</w:t>
      </w:r>
    </w:p>
    <w:p>
      <w:pPr>
        <w:pStyle w:val="BodyText"/>
      </w:pPr>
      <w:r>
        <w:t xml:space="preserve">Presentation to TÜBİTAK; 2 open-access journal articles; Ankara university policy briefs</w:t>
      </w:r>
    </w:p>
    <w:bookmarkEnd w:id="26"/>
    <w:bookmarkStart w:id="28" w:name="X0634aa8e5350505a452f6bcc9c03cdd947c145f"/>
    <w:p>
      <w:pPr>
        <w:pStyle w:val="Heading2"/>
      </w:pPr>
      <w:r>
        <w:t xml:space="preserve">8. Conclusion: Toward a Researcher-Centric Ankara</w:t>
      </w:r>
    </w:p>
    <w:p>
      <w:pPr>
        <w:pStyle w:val="FirstParagraph"/>
      </w:pPr>
      <w:r>
        <w:t xml:space="preserve">This</w:t>
      </w:r>
      <w:r>
        <w:t xml:space="preserve"> </w:t>
      </w:r>
      <w:r>
        <w:rPr>
          <w:bCs/>
          <w:b/>
        </w:rPr>
        <w:t xml:space="preserve">Thesis Proposal</w:t>
      </w:r>
      <w:r>
        <w:t xml:space="preserve"> </w:t>
      </w:r>
      <w:r>
        <w:t xml:space="preserve">responds urgently to Turkey's ambition of becoming an academic leader in the 21st century. By centering the experiences of</w:t>
      </w:r>
      <w:r>
        <w:t xml:space="preserve"> </w:t>
      </w:r>
      <w:r>
        <w:rPr>
          <w:bCs/>
          <w:b/>
        </w:rPr>
        <w:t xml:space="preserve">Academic Researcher</w:t>
      </w:r>
      <w:r>
        <w:t xml:space="preserve">s within Ankara—a city where 35% of Turkey's research output originates—we move beyond generic solutions toward a culturally attuned development paradigm. The project’s success will be measured not only by scholarly outputs but by tangible adoption: if implemented, the framework could elevate researcher productivity in Ankara institutions by 25-30%, directly supporting Turkey's socioeconomic development goals. In an era where knowledge drives national competitiveness, this research positions Ankara as a model for sustainable academic innovation across</w:t>
      </w:r>
      <w:r>
        <w:t xml:space="preserve"> </w:t>
      </w:r>
      <w:r>
        <w:rPr>
          <w:bCs/>
          <w:b/>
        </w:rPr>
        <w:t xml:space="preserve">Turkey</w:t>
      </w:r>
      <w:r>
        <w:t xml:space="preserve"> </w:t>
      </w:r>
      <w:r>
        <w:t xml:space="preserve">and beyond. The resulting toolkit will empower Academic Researchers to not merely conduct research but to strategically shape Turkey's intellectual future from its academic heartland.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Turkey Ankara</dc:title>
  <dc:creator/>
  <dc:language>en</dc:language>
  <cp:keywords/>
  <dcterms:created xsi:type="dcterms:W3CDTF">2026-07-20T04:48:13Z</dcterms:created>
  <dcterms:modified xsi:type="dcterms:W3CDTF">2026-07-20T04:48:13Z</dcterms:modified>
</cp:coreProperties>
</file>

<file path=docProps/custom.xml><?xml version="1.0" encoding="utf-8"?>
<Properties xmlns="http://schemas.openxmlformats.org/officeDocument/2006/custom-properties" xmlns:vt="http://schemas.openxmlformats.org/officeDocument/2006/docPropsVTypes"/>
</file>