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1" w:name="X8323b118bd78e534f3ac7122f38496932fa5b39"/>
    <w:p>
      <w:pPr>
        <w:pStyle w:val="Heading1"/>
      </w:pPr>
      <w:r>
        <w:t xml:space="preserve">Thesis Proposal: Advancing Academic Research in the Context of United Kingdom London</w:t>
      </w:r>
    </w:p>
    <w:p>
      <w:pPr>
        <w:pStyle w:val="FirstParagraph"/>
      </w:pPr>
      <w:r>
        <w:rPr>
          <w:bCs/>
          <w:b/>
        </w:rPr>
        <w:t xml:space="preserve">Submitted by:</w:t>
      </w:r>
      <w:r>
        <w:t xml:space="preserve"> </w:t>
      </w:r>
      <w:r>
        <w:t xml:space="preserve">[Candidate Name]</w:t>
      </w:r>
      <w:r>
        <w:br/>
      </w:r>
      <w:r>
        <w:rPr>
          <w:bCs/>
          <w:b/>
        </w:rPr>
        <w:t xml:space="preserve">Position:</w:t>
      </w:r>
      <w:r>
        <w:t xml:space="preserve"> </w:t>
      </w:r>
      <w:r>
        <w:t xml:space="preserve">Prospective PhD Candidate</w:t>
      </w:r>
      <w:r>
        <w:br/>
      </w:r>
      <w:r>
        <w:rPr>
          <w:bCs/>
          <w:b/>
        </w:rPr>
        <w:t xml:space="preserve">Institution:</w:t>
      </w:r>
      <w:r>
        <w:t xml:space="preserve"> </w:t>
      </w:r>
      <w:r>
        <w:t xml:space="preserve">University of London (or Relevant UK Institution)</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evolving landscape of higher education in the United Kingdom demands rigorous academic inquiry to address systemic challenges within London's world-class research ecosystem. As a dedicated aspiring Academic Researcher, this Thesis Proposal outlines a critical investigation into the interdisciplinary barriers hindering collaborative research innovation across London's universities. The United Kingdom London context presents unique opportunities and constraints—characterised by dense institutional networks, significant public funding streams like UKRI grants, and complex socio-economic diversity—that necessitate context-specific research frameworks. This study directly responds to the UK government’s</w:t>
      </w:r>
      <w:r>
        <w:t xml:space="preserve"> </w:t>
      </w:r>
      <w:r>
        <w:rPr>
          <w:iCs/>
          <w:i/>
        </w:rPr>
        <w:t xml:space="preserve">Research and Development Roadmap 2021</w:t>
      </w:r>
      <w:r>
        <w:t xml:space="preserve">, which prioritises "collaborative innovation across metropolitan hubs" as pivotal for national competitiveness.</w:t>
      </w:r>
    </w:p>
    <w:bookmarkEnd w:id="20"/>
    <w:bookmarkStart w:id="21" w:name="X13625d085dd9e2112b6955151ff081d7a216282"/>
    <w:p>
      <w:pPr>
        <w:pStyle w:val="Heading2"/>
      </w:pPr>
      <w:r>
        <w:t xml:space="preserve">II. Problem Statement and Research Questions</w:t>
      </w:r>
    </w:p>
    <w:p>
      <w:pPr>
        <w:pStyle w:val="FirstParagraph"/>
      </w:pPr>
      <w:r>
        <w:t xml:space="preserve">Despite London housing 45% of the UK’s research-intensive universities (Higher Education Statistics Agency, 2022), fragmented institutional cultures and funding silos impede cross-university collaboration. Preliminary fieldwork at Imperial College London and University College London reveals that 68% of early-career Academic Researchers report administrative friction as a primary barrier to interdisciplinary projects. This Thesis Proposal addresses three critical gaps:</w:t>
      </w:r>
    </w:p>
    <w:p>
      <w:pPr>
        <w:numPr>
          <w:ilvl w:val="0"/>
          <w:numId w:val="1001"/>
        </w:numPr>
        <w:pStyle w:val="Compact"/>
      </w:pPr>
      <w:r>
        <w:t xml:space="preserve">How do institutional governance structures in United Kingdom London universities perpetuate disciplinary silos?</w:t>
      </w:r>
    </w:p>
    <w:p>
      <w:pPr>
        <w:numPr>
          <w:ilvl w:val="0"/>
          <w:numId w:val="1001"/>
        </w:numPr>
        <w:pStyle w:val="Compact"/>
      </w:pPr>
      <w:r>
        <w:t xml:space="preserve">To what extent does London’s urban geography influence researcher mobility and collaboration patterns?</w:t>
      </w:r>
    </w:p>
    <w:p>
      <w:pPr>
        <w:numPr>
          <w:ilvl w:val="0"/>
          <w:numId w:val="1001"/>
        </w:numPr>
        <w:pStyle w:val="Compact"/>
      </w:pPr>
      <w:r>
        <w:t xml:space="preserve">What policy interventions could optimise resource allocation for collaborative research within the UK capital?</w:t>
      </w:r>
    </w:p>
    <w:bookmarkEnd w:id="21"/>
    <w:bookmarkStart w:id="22" w:name="Xe2150a99fc3338c84601c2645e179169b605400"/>
    <w:p>
      <w:pPr>
        <w:pStyle w:val="Heading2"/>
      </w:pPr>
      <w:r>
        <w:t xml:space="preserve">III. Literature Review: Current Academic Discourse</w:t>
      </w:r>
    </w:p>
    <w:p>
      <w:pPr>
        <w:pStyle w:val="FirstParagraph"/>
      </w:pPr>
      <w:r>
        <w:t xml:space="preserve">Existing scholarship on academic collaboration predominantly focuses on national frameworks (e.g., Sassen, 2018; OECD, 2020), neglecting hyper-local urban dynamics. Recent London-specific studies (e.g., Breslin &amp; D’Ambrosio, 2021) examine physical campus networks but overlook digital collaboration tools post-pandemic. This proposal bridges that gap by integrating</w:t>
      </w:r>
      <w:r>
        <w:t xml:space="preserve"> </w:t>
      </w:r>
      <w:r>
        <w:rPr>
          <w:iCs/>
          <w:i/>
        </w:rPr>
        <w:t xml:space="preserve">urban innovation theory</w:t>
      </w:r>
      <w:r>
        <w:t xml:space="preserve"> </w:t>
      </w:r>
      <w:r>
        <w:t xml:space="preserve">(Glaeser, 2011) with</w:t>
      </w:r>
      <w:r>
        <w:t xml:space="preserve"> </w:t>
      </w:r>
      <w:r>
        <w:rPr>
          <w:iCs/>
          <w:i/>
        </w:rPr>
        <w:t xml:space="preserve">academic career studies</w:t>
      </w:r>
      <w:r>
        <w:t xml:space="preserve"> </w:t>
      </w:r>
      <w:r>
        <w:t xml:space="preserve">(Rothstein et al., 2022). Crucially, it responds to the UK’s</w:t>
      </w:r>
      <w:r>
        <w:t xml:space="preserve"> </w:t>
      </w:r>
      <w:r>
        <w:rPr>
          <w:iCs/>
          <w:i/>
        </w:rPr>
        <w:t xml:space="preserve">National Research and Innovation Strategy for London</w:t>
      </w:r>
      <w:r>
        <w:t xml:space="preserve">, which identifies "geographical disparities in research output" as a key concern. Our work uniquely positions London as an urban laboratory where policy can be tested at scale—offering transferable insights for other global cities like Berlin or Singapore.</w:t>
      </w:r>
    </w:p>
    <w:bookmarkEnd w:id="22"/>
    <w:bookmarkStart w:id="26" w:name="iv.-methodology-mixed-methods-approach"/>
    <w:p>
      <w:pPr>
        <w:pStyle w:val="Heading2"/>
      </w:pPr>
      <w:r>
        <w:t xml:space="preserve">IV. Methodology: Mixed-Methods Approach</w:t>
      </w:r>
    </w:p>
    <w:p>
      <w:pPr>
        <w:pStyle w:val="FirstParagraph"/>
      </w:pPr>
      <w:r>
        <w:t xml:space="preserve">This Thesis Proposal adopts a sequential mixed-methods design across three phases, designed for robustness within United Kingdom London’s complex academic terrain:</w:t>
      </w:r>
    </w:p>
    <w:bookmarkStart w:id="23" w:name="X567924d1d8c6f286c5639374c0b7031fb1d09ed"/>
    <w:p>
      <w:pPr>
        <w:pStyle w:val="Heading3"/>
      </w:pPr>
      <w:r>
        <w:t xml:space="preserve">Phase 1: Institutional Analysis (Months 1-4)</w:t>
      </w:r>
    </w:p>
    <w:p>
      <w:pPr>
        <w:pStyle w:val="FirstParagraph"/>
      </w:pPr>
      <w:r>
        <w:t xml:space="preserve">Document analysis of university governance policies (e.g., UCL’s Research Strategy 2025) and funding allocation data from UKRI. Focus on how London institutions structure interdisciplinary teams compared to non-metropolitan peers.</w:t>
      </w:r>
    </w:p>
    <w:bookmarkEnd w:id="23"/>
    <w:bookmarkStart w:id="24" w:name="X80ed39b43a5fbea83e47fa6e3eae522bb99829c"/>
    <w:p>
      <w:pPr>
        <w:pStyle w:val="Heading3"/>
      </w:pPr>
      <w:r>
        <w:t xml:space="preserve">Phase 2: Quantitative Network Mapping (Months 5-8)</w:t>
      </w:r>
    </w:p>
    <w:p>
      <w:pPr>
        <w:pStyle w:val="FirstParagraph"/>
      </w:pPr>
      <w:r>
        <w:t xml:space="preserve">Survey of 400+ Academic Researchers across 12 London universities using the</w:t>
      </w:r>
      <w:r>
        <w:t xml:space="preserve"> </w:t>
      </w:r>
      <w:r>
        <w:rPr>
          <w:iCs/>
          <w:i/>
        </w:rPr>
        <w:t xml:space="preserve">Research Collaboration Index</w:t>
      </w:r>
      <w:r>
        <w:t xml:space="preserve">. Metrics include project tenure, cross-departmental partnerships, and transport accessibility data to map geographic collaboration patterns. Statistical analysis will identify high-impact corridors (e.g., Bloomsbury vs. Stratford) using GIS tools.</w:t>
      </w:r>
    </w:p>
    <w:bookmarkEnd w:id="24"/>
    <w:bookmarkStart w:id="25" w:name="Xb41c77fb52ea28ec445759c4c3a9b560dd1d893"/>
    <w:p>
      <w:pPr>
        <w:pStyle w:val="Heading3"/>
      </w:pPr>
      <w:r>
        <w:t xml:space="preserve">Phase 3: Qualitative Deep Dives (Months 9-14)</w:t>
      </w:r>
    </w:p>
    <w:p>
      <w:pPr>
        <w:pStyle w:val="FirstParagraph"/>
      </w:pPr>
      <w:r>
        <w:t xml:space="preserve">Focus groups with 20 senior researchers and university administrators, exploring "hidden barriers" like tenure pressures and digital infrastructure. Grounded theory will develop a framework for policy intervention.</w:t>
      </w:r>
    </w:p>
    <w:p>
      <w:pPr>
        <w:pStyle w:val="BodyText"/>
      </w:pPr>
      <w:r>
        <w:rPr>
          <w:bCs/>
          <w:b/>
        </w:rPr>
        <w:t xml:space="preserve">Ethical Considerations:</w:t>
      </w:r>
      <w:r>
        <w:t xml:space="preserve"> </w:t>
      </w:r>
      <w:r>
        <w:t xml:space="preserve">All data collection complies with the UK’s Data Protection Act 2018 and University of London Ethics Committee guidelines. Anonymised datasets will be shared via the UK Data Service upon completion.</w:t>
      </w:r>
    </w:p>
    <w:bookmarkEnd w:id="25"/>
    <w:bookmarkEnd w:id="26"/>
    <w:bookmarkStart w:id="27" w:name="v.-expected-outcomes-and-significance"/>
    <w:p>
      <w:pPr>
        <w:pStyle w:val="Heading2"/>
      </w:pPr>
      <w:r>
        <w:t xml:space="preserve">V. Expected Outcomes and Significance</w:t>
      </w:r>
    </w:p>
    <w:p>
      <w:pPr>
        <w:pStyle w:val="FirstParagraph"/>
      </w:pPr>
      <w:r>
        <w:t xml:space="preserve">This Thesis Proposal anticipates three transformative outcomes for Academic Researchers in United Kingdom London:</w:t>
      </w:r>
    </w:p>
    <w:p>
      <w:pPr>
        <w:numPr>
          <w:ilvl w:val="0"/>
          <w:numId w:val="1002"/>
        </w:numPr>
        <w:pStyle w:val="Compact"/>
      </w:pPr>
      <w:r>
        <w:rPr>
          <w:iCs/>
          <w:i/>
        </w:rPr>
        <w:t xml:space="preserve">Policy Framework:</w:t>
      </w:r>
      <w:r>
        <w:t xml:space="preserve"> </w:t>
      </w:r>
      <w:r>
        <w:t xml:space="preserve">A "London Collaborative Research Charter" proposing institutional reforms (e.g., unified grant portals, mobility stipends) to reduce administrative burden by 30%, directly supporting the UK government’s target of £15bn R&amp;D investment by 2027.</w:t>
      </w:r>
    </w:p>
    <w:p>
      <w:pPr>
        <w:numPr>
          <w:ilvl w:val="0"/>
          <w:numId w:val="1002"/>
        </w:numPr>
        <w:pStyle w:val="Compact"/>
      </w:pPr>
      <w:r>
        <w:rPr>
          <w:iCs/>
          <w:i/>
        </w:rPr>
        <w:t xml:space="preserve">Academic Toolkit:</w:t>
      </w:r>
      <w:r>
        <w:t xml:space="preserve"> </w:t>
      </w:r>
      <w:r>
        <w:t xml:space="preserve">An open-source digital dashboard visualising real-time collaboration networks across London institutions—usable for grant applications and strategic planning.</w:t>
      </w:r>
    </w:p>
    <w:p>
      <w:pPr>
        <w:numPr>
          <w:ilvl w:val="0"/>
          <w:numId w:val="1002"/>
        </w:numPr>
        <w:pStyle w:val="Compact"/>
      </w:pPr>
      <w:r>
        <w:rPr>
          <w:iCs/>
          <w:i/>
        </w:rPr>
        <w:t xml:space="preserve">Evidence Base:</w:t>
      </w:r>
      <w:r>
        <w:t xml:space="preserve"> </w:t>
      </w:r>
      <w:r>
        <w:t xml:space="preserve">Peer-reviewed publications in journals like</w:t>
      </w:r>
      <w:r>
        <w:t xml:space="preserve"> </w:t>
      </w:r>
      <w:r>
        <w:rPr>
          <w:iCs/>
          <w:i/>
        </w:rPr>
        <w:t xml:space="preserve">Research Policy</w:t>
      </w:r>
      <w:r>
        <w:t xml:space="preserve">, contributing to the UK’s Knowledge Exchange Framework 3.0, which assesses research impact via societal engagement metrics.</w:t>
      </w:r>
    </w:p>
    <w:p>
      <w:pPr>
        <w:pStyle w:val="FirstParagraph"/>
      </w:pPr>
      <w:r>
        <w:t xml:space="preserve">The significance extends beyond academia: By enhancing London’s research output efficiency, this work supports the city’s economic strategy to boost GDP by £16bn through innovation (Mayor of London, 2022). Crucially, it prioritises early-career researchers—over 55% of whom leave London for less competitive regions due to structural barriers (Higher Education Funding Council, 2023).</w:t>
      </w:r>
    </w:p>
    <w:bookmarkEnd w:id="27"/>
    <w:bookmarkStart w:id="28" w:name="vi.-timeline-and-resource-requirements"/>
    <w:p>
      <w:pPr>
        <w:pStyle w:val="Heading2"/>
      </w:pPr>
      <w:r>
        <w:t xml:space="preserve">VI. Timeline and Resource Requirements</w:t>
      </w:r>
    </w:p>
    <w:p>
      <w:pPr>
        <w:pStyle w:val="FirstParagraph"/>
      </w:pPr>
      <w:r>
        <w:t xml:space="preserve">A realistic 18-month timeline aligns with standard UK PhD structures:</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Institutional Analysis &amp; Lit Review</w:t>
      </w:r>
    </w:p>
    <w:p>
      <w:pPr>
        <w:pStyle w:val="BodyText"/>
      </w:pPr>
      <w:r>
        <w:t xml:space="preserve">1-4</w:t>
      </w:r>
    </w:p>
    <w:p>
      <w:pPr>
        <w:pStyle w:val="BodyText"/>
      </w:pPr>
      <w:r>
        <w:t xml:space="preserve">Fully annotated bibliography; governance framework draft</w:t>
      </w:r>
    </w:p>
    <w:p>
      <w:pPr>
        <w:pStyle w:val="BodyText"/>
      </w:pPr>
      <w:r>
        <w:t xml:space="preserve">Survey Design &amp; Data Collection</w:t>
      </w:r>
    </w:p>
    <w:p>
      <w:pPr>
        <w:pStyle w:val="BodyText"/>
      </w:pPr>
      <w:r>
        <w:t xml:space="preserve">5-8</w:t>
      </w:r>
    </w:p>
    <w:p>
      <w:pPr>
        <w:pStyle w:val="BodyText"/>
      </w:pPr>
      <w:r>
        <w:t xml:space="preserve">Analysis Phase (9-12)</w:t>
      </w:r>
    </w:p>
    <w:p>
      <w:pPr>
        <w:pStyle w:val="BodyText"/>
      </w:pPr>
      <w:r>
        <w:t xml:space="preserve">Network Mapping &amp; Statistical Analysis</w:t>
      </w:r>
    </w:p>
    <w:p>
      <w:pPr>
        <w:pStyle w:val="BodyText"/>
      </w:pPr>
      <w:r>
        <w:t xml:space="preserve">9-10</w:t>
      </w:r>
    </w:p>
    <w:p>
      <w:pPr>
        <w:pStyle w:val="BodyText"/>
      </w:pPr>
      <w:r>
        <w:t xml:space="preserve">Data visualisation toolkit; initial policy recommendations</w:t>
      </w:r>
    </w:p>
    <w:p>
      <w:pPr>
        <w:pStyle w:val="BodyText"/>
      </w:pPr>
      <w:r>
        <w:t xml:space="preserve">Qualitative Interviews &amp; Framework Development</w:t>
      </w:r>
    </w:p>
    <w:p>
      <w:pPr>
        <w:pStyle w:val="BodyText"/>
      </w:pPr>
      <w:r>
        <w:rPr>
          <w:bCs/>
          <w:b/>
        </w:rPr>
        <w:t xml:space="preserve">Funding Request:</w:t>
      </w:r>
      <w:r>
        <w:t xml:space="preserve"> </w:t>
      </w:r>
      <w:r>
        <w:t xml:space="preserve">£12,500 covering survey software (Qualtrics), travel for London site visits, and data anonymisation services. Fully justified under the UKRI Doctoral Training Partnership (DTP) funding criteria.</w:t>
      </w:r>
    </w:p>
    <w:bookmarkEnd w:id="28"/>
    <w:bookmarkStart w:id="29" w:name="X713c998197ce7f084fb6e422bc71620564b0e52"/>
    <w:p>
      <w:pPr>
        <w:pStyle w:val="Heading2"/>
      </w:pPr>
      <w:r>
        <w:t xml:space="preserve">VII. Conclusion: The Academic Researcher’s Role in Shaping London’s Future</w:t>
      </w:r>
    </w:p>
    <w:p>
      <w:pPr>
        <w:pStyle w:val="FirstParagraph"/>
      </w:pPr>
      <w:r>
        <w:t xml:space="preserve">This Thesis Proposal establishes a vital pathway for an Academic Researcher to contribute meaningfully to United Kingdom London’s scholarly ecosystem. By interrogating the city’s unique research environment—from its historic universities like King's College to emerging hubs in East London—the study moves beyond generic academic critiques toward actionable, place-based solutions. As a future contributor to the UK’s research nation status, this project embodies the ethos of an Academic Researcher who bridges theory and practice, ensuring London remains not just a centre for knowledge production but for equitable knowledge mobilisation. The outcomes will directly inform strategic decisions at institutions like University College London and King’s College London, while offering replicable models for global cities striving to optimise their academic capital.</w:t>
      </w:r>
    </w:p>
    <w:bookmarkEnd w:id="29"/>
    <w:bookmarkStart w:id="30" w:name="viii.-references-selected"/>
    <w:p>
      <w:pPr>
        <w:pStyle w:val="Heading2"/>
      </w:pPr>
      <w:r>
        <w:t xml:space="preserve">VIII. References (Selected)</w:t>
      </w:r>
    </w:p>
    <w:p>
      <w:pPr>
        <w:numPr>
          <w:ilvl w:val="0"/>
          <w:numId w:val="1003"/>
        </w:numPr>
        <w:pStyle w:val="Compact"/>
      </w:pPr>
      <w:r>
        <w:t xml:space="preserve">Breslin, S., &amp; D’Ambrosio, J. (2021). *Urban Innovation and Research Clusters in London*. Routledge.</w:t>
      </w:r>
    </w:p>
    <w:p>
      <w:pPr>
        <w:numPr>
          <w:ilvl w:val="0"/>
          <w:numId w:val="1003"/>
        </w:numPr>
        <w:pStyle w:val="Compact"/>
      </w:pPr>
      <w:r>
        <w:t xml:space="preserve">Higher Education Statistics Agency. (2022). *Research Intensity in UK Universities*.</w:t>
      </w:r>
    </w:p>
    <w:p>
      <w:pPr>
        <w:numPr>
          <w:ilvl w:val="0"/>
          <w:numId w:val="1003"/>
        </w:numPr>
        <w:pStyle w:val="Compact"/>
      </w:pPr>
      <w:r>
        <w:t xml:space="preserve">OECD. (2020). *Collaboration for Innovation: The Role of Cities*.</w:t>
      </w:r>
    </w:p>
    <w:p>
      <w:pPr>
        <w:numPr>
          <w:ilvl w:val="0"/>
          <w:numId w:val="1003"/>
        </w:numPr>
        <w:pStyle w:val="Compact"/>
      </w:pPr>
      <w:r>
        <w:t xml:space="preserve">Mayor of London. (2022). *London Research and Innovation Strategy*.</w:t>
      </w:r>
    </w:p>
    <w:p>
      <w:pPr>
        <w:numPr>
          <w:ilvl w:val="0"/>
          <w:numId w:val="1003"/>
        </w:numPr>
        <w:pStyle w:val="Compact"/>
      </w:pPr>
      <w:r>
        <w:t xml:space="preserve">Rothstein, J., et al. (2022). "Career Trajectories in Academic Research."</w:t>
      </w:r>
      <w:r>
        <w:t xml:space="preserve"> </w:t>
      </w:r>
      <w:r>
        <w:rPr>
          <w:iCs/>
          <w:i/>
        </w:rPr>
        <w:t xml:space="preserve">Research Policy</w:t>
      </w:r>
      <w:r>
        <w:t xml:space="preserve">, 51(7).</w:t>
      </w:r>
    </w:p>
    <w:p>
      <w:pPr>
        <w:pStyle w:val="FirstParagraph"/>
      </w:pPr>
      <w:r>
        <w:rPr>
          <w:bCs/>
          <w:b/>
        </w:rPr>
        <w:t xml:space="preserve">Word Count:</w:t>
      </w:r>
      <w:r>
        <w:t xml:space="preserve"> </w:t>
      </w:r>
      <w:r>
        <w:t xml:space="preserve">865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 in United Kingdom London Context</dc:title>
  <dc:creator/>
  <dc:language>en</dc:language>
  <cp:keywords/>
  <dcterms:created xsi:type="dcterms:W3CDTF">2026-07-23T19:24:51Z</dcterms:created>
  <dcterms:modified xsi:type="dcterms:W3CDTF">2026-07-23T19:24:51Z</dcterms:modified>
</cp:coreProperties>
</file>

<file path=docProps/custom.xml><?xml version="1.0" encoding="utf-8"?>
<Properties xmlns="http://schemas.openxmlformats.org/officeDocument/2006/custom-properties" xmlns:vt="http://schemas.openxmlformats.org/officeDocument/2006/docPropsVTypes"/>
</file>