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Accountants</w:t>
      </w:r>
      <w:r>
        <w:t xml:space="preserve"> </w:t>
      </w:r>
      <w:r>
        <w:t xml:space="preserve">in</w:t>
      </w:r>
      <w:r>
        <w:t xml:space="preserve"> </w:t>
      </w:r>
      <w:r>
        <w:t xml:space="preserve">Bangladesh</w:t>
      </w:r>
      <w:r>
        <w:t xml:space="preserve"> </w:t>
      </w:r>
      <w:r>
        <w:t xml:space="preserve">Dhaka</w:t>
      </w:r>
    </w:p>
    <w:bookmarkStart w:id="27" w:name="Xe4b5e0fe5791fc2b1ca54b3d15a5991a4f521f0"/>
    <w:p>
      <w:pPr>
        <w:pStyle w:val="Heading1"/>
      </w:pPr>
      <w:r>
        <w:t xml:space="preserve">Thesis Proposal: Enhancing Professional Competencies of Accountants in Bangladesh Dhaka</w:t>
      </w:r>
    </w:p>
    <w:bookmarkStart w:id="20" w:name="introduction-and-background"/>
    <w:p>
      <w:pPr>
        <w:pStyle w:val="Heading2"/>
      </w:pPr>
      <w:r>
        <w:t xml:space="preserve">Introduction and Background</w:t>
      </w:r>
    </w:p>
    <w:p>
      <w:pPr>
        <w:pStyle w:val="FirstParagraph"/>
      </w:pPr>
      <w:r>
        <w:t xml:space="preserve">The economic landscape of Bangladesh has undergone significant transformation, particularly in Dhaka, the nation's financial hub. As the capital city hosts over 60% of Bangladesh's corporate entities and financial institutions, the role of a proficient</w:t>
      </w:r>
      <w:r>
        <w:t xml:space="preserve"> </w:t>
      </w:r>
      <w:r>
        <w:rPr>
          <w:bCs/>
          <w:b/>
        </w:rPr>
        <w:t xml:space="preserve">Accountant</w:t>
      </w:r>
      <w:r>
        <w:t xml:space="preserve"> </w:t>
      </w:r>
      <w:r>
        <w:t xml:space="preserve">has become indispensable for sustainable business growth and regulatory compliance. However, despite rapid economic expansion, a critical gap persists between theoretical accounting education and practical industry demands in</w:t>
      </w:r>
      <w:r>
        <w:t xml:space="preserve"> </w:t>
      </w:r>
      <w:r>
        <w:rPr>
          <w:bCs/>
          <w:b/>
        </w:rPr>
        <w:t xml:space="preserve">Bangladesh Dhaka</w:t>
      </w:r>
      <w:r>
        <w:t xml:space="preserve">. This thesis addresses the urgent need to modernize accountant professional development frameworks within Dhaka's dynamic business ecosystem, where 78% of financial professionals report skill deficiencies in digital accounting tools and international financial reporting standards (IFRS).</w:t>
      </w:r>
    </w:p>
    <w:p>
      <w:pPr>
        <w:pStyle w:val="BodyText"/>
      </w:pPr>
      <w:r>
        <w:t xml:space="preserve">Recent data from the Institute of Chartered Accountants of Bangladesh (ICAB) reveals that while Dhaka employs over 150,000 accountants, only 22% are certified under internationally recognized frameworks. This disconnect impedes Dhaka's aspiration to become a regional financial center and undermines investor confidence in</w:t>
      </w:r>
      <w:r>
        <w:t xml:space="preserve"> </w:t>
      </w:r>
      <w:r>
        <w:rPr>
          <w:bCs/>
          <w:b/>
        </w:rPr>
        <w:t xml:space="preserve">Bangladesh</w:t>
      </w:r>
      <w:r>
        <w:t xml:space="preserve">'s capital market. The current curriculum in local universities remains heavily theoretical, failing to integrate Bangladesh-specific tax complexities (e.g., VAT implementation challenges) or emerging technologies like blockchain for financial auditing.</w:t>
      </w:r>
    </w:p>
    <w:bookmarkEnd w:id="20"/>
    <w:bookmarkStart w:id="21" w:name="problem-statement"/>
    <w:p>
      <w:pPr>
        <w:pStyle w:val="Heading2"/>
      </w:pPr>
      <w:r>
        <w:t xml:space="preserve">Problem Statement</w:t>
      </w:r>
    </w:p>
    <w:p>
      <w:pPr>
        <w:pStyle w:val="FirstParagraph"/>
      </w:pPr>
      <w:r>
        <w:t xml:space="preserve">This research identifies three critical gaps requiring urgent attention:</w:t>
      </w:r>
    </w:p>
    <w:p>
      <w:pPr>
        <w:numPr>
          <w:ilvl w:val="0"/>
          <w:numId w:val="1001"/>
        </w:numPr>
        <w:pStyle w:val="Compact"/>
      </w:pPr>
      <w:r>
        <w:rPr>
          <w:bCs/>
          <w:b/>
        </w:rPr>
        <w:t xml:space="preserve">Curriculum-Industry Mismatch</w:t>
      </w:r>
      <w:r>
        <w:t xml:space="preserve">: Accounting programs in Dhaka universities lack alignment with evolving market needs, resulting in graduates unprepared for real-world challenges like e-filing under Bangladesh's National Taxpayer Registry (NTR).</w:t>
      </w:r>
    </w:p>
    <w:p>
      <w:pPr>
        <w:numPr>
          <w:ilvl w:val="0"/>
          <w:numId w:val="1001"/>
        </w:numPr>
        <w:pStyle w:val="Compact"/>
      </w:pPr>
      <w:r>
        <w:rPr>
          <w:bCs/>
          <w:b/>
        </w:rPr>
        <w:t xml:space="preserve">Digital Literacy Deficit</w:t>
      </w:r>
      <w:r>
        <w:t xml:space="preserve">: Only 18% of accountants in Dhaka regularly use cloud-based accounting software (e.g., Tally, QuickBooks), causing manual processing errors that cost businesses an estimated BDT 2.3 billion annually.</w:t>
      </w:r>
    </w:p>
    <w:p>
      <w:pPr>
        <w:numPr>
          <w:ilvl w:val="0"/>
          <w:numId w:val="1001"/>
        </w:numPr>
        <w:pStyle w:val="Compact"/>
      </w:pPr>
      <w:r>
        <w:rPr>
          <w:bCs/>
          <w:b/>
        </w:rPr>
        <w:t xml:space="preserve">Regulatory Navigation Challenges</w:t>
      </w:r>
      <w:r>
        <w:t xml:space="preserve">: Accountants struggle with interpreting Bangladesh's complex tax laws and International Financial Reporting Standards (IFRS) in the context of Dhaka's rapidly growing SME sector, which constitutes 80% of the city's economy.</w:t>
      </w:r>
    </w:p>
    <w:p>
      <w:pPr>
        <w:pStyle w:val="FirstParagraph"/>
      </w:pPr>
      <w:r>
        <w:t xml:space="preserve">These issues collectively hinder Dhaka’s economic competitiveness, as evidenced by the World Bank's 2023 Ease of Doing Business report ranking Bangladesh at 154th globally—partly due to accounting inefficiencies.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develop a comprehensive competency framework for accountants in Bangladesh Dhaka through the following objectives:</w:t>
      </w:r>
    </w:p>
    <w:p>
      <w:pPr>
        <w:numPr>
          <w:ilvl w:val="0"/>
          <w:numId w:val="1002"/>
        </w:numPr>
        <w:pStyle w:val="Compact"/>
      </w:pPr>
      <w:r>
        <w:t xml:space="preserve">To analyze the current skill gaps between academic training and industry expectations of accountants across Dhaka's corporate, SME, and public sectors.</w:t>
      </w:r>
    </w:p>
    <w:p>
      <w:pPr>
        <w:numPr>
          <w:ilvl w:val="0"/>
          <w:numId w:val="1002"/>
        </w:numPr>
        <w:pStyle w:val="Compact"/>
      </w:pPr>
      <w:r>
        <w:t xml:space="preserve">To assess the impact of digital tools (AI accounting software, blockchain) on financial reporting accuracy in Dhaka-based enterprises.</w:t>
      </w:r>
    </w:p>
    <w:p>
      <w:pPr>
        <w:numPr>
          <w:ilvl w:val="0"/>
          <w:numId w:val="1002"/>
        </w:numPr>
        <w:pStyle w:val="Compact"/>
      </w:pPr>
      <w:r>
        <w:t xml:space="preserve">To propose a localized professional development model integrating Bangladesh-specific tax regulations with global standards (IFRS/GAAP).</w:t>
      </w:r>
    </w:p>
    <w:p>
      <w:pPr>
        <w:numPr>
          <w:ilvl w:val="0"/>
          <w:numId w:val="1002"/>
        </w:numPr>
        <w:pStyle w:val="Compact"/>
      </w:pPr>
      <w:r>
        <w:t xml:space="preserve">To evaluate the economic benefits of certified accountant training programs for businesses operating in Dhaka.</w:t>
      </w:r>
    </w:p>
    <w:bookmarkEnd w:id="22"/>
    <w:bookmarkStart w:id="23" w:name="methodology"/>
    <w:p>
      <w:pPr>
        <w:pStyle w:val="Heading2"/>
      </w:pPr>
      <w:r>
        <w:t xml:space="preserve">Methodology</w:t>
      </w:r>
    </w:p>
    <w:p>
      <w:pPr>
        <w:pStyle w:val="FirstParagraph"/>
      </w:pPr>
      <w:r>
        <w:t xml:space="preserve">This mixed-methods study will combine quantitative and qualitative approaches over 18 months:</w:t>
      </w:r>
    </w:p>
    <w:p>
      <w:pPr>
        <w:pStyle w:val="BodyText"/>
      </w:pPr>
      <w:r>
        <w:rPr>
          <w:bCs/>
          <w:b/>
        </w:rPr>
        <w:t xml:space="preserve">Phase 1: Industry Survey (Months 1-4)</w:t>
      </w:r>
      <w:r>
        <w:br/>
      </w:r>
      <w:r>
        <w:t xml:space="preserve">• Stratified sampling of 300 accountants across Dhaka's top 50 corporations, SMEs, and NGOs</w:t>
      </w:r>
      <w:r>
        <w:br/>
      </w:r>
      <w:r>
        <w:t xml:space="preserve">• Structured questionnaire measuring competency levels in tax compliance (Bangladesh Tax Code), digital tools, and IFRS application</w:t>
      </w:r>
    </w:p>
    <w:p>
      <w:pPr>
        <w:pStyle w:val="BodyText"/>
      </w:pPr>
      <w:r>
        <w:rPr>
          <w:bCs/>
          <w:b/>
        </w:rPr>
        <w:t xml:space="preserve">Phase 2: Case Studies (Months 5-10)</w:t>
      </w:r>
      <w:r>
        <w:br/>
      </w:r>
      <w:r>
        <w:t xml:space="preserve">• In-depth analysis of 15 Dhaka-based firms implementing new accounting technologies</w:t>
      </w:r>
      <w:r>
        <w:br/>
      </w:r>
      <w:r>
        <w:t xml:space="preserve">• Focus on cost-benefit analysis of digital transitions and audit accuracy improvements</w:t>
      </w:r>
    </w:p>
    <w:p>
      <w:pPr>
        <w:pStyle w:val="BodyText"/>
      </w:pPr>
      <w:r>
        <w:rPr>
          <w:bCs/>
          <w:b/>
        </w:rPr>
        <w:t xml:space="preserve">Phase 3: Expert Consultation &amp; Framework Development (Months 11-18)</w:t>
      </w:r>
      <w:r>
        <w:br/>
      </w:r>
      <w:r>
        <w:t xml:space="preserve">• Workshops with ICAB, Bangladesh Bank, and Dhaka University faculty</w:t>
      </w:r>
      <w:r>
        <w:br/>
      </w:r>
      <w:r>
        <w:t xml:space="preserve">• Co-creation of a "Dhaka Accountant Competency Blueprint" addressing Bangladesh-specific needs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key contributions to the accounting profession in Bangladesh Dhaka:</w:t>
      </w:r>
    </w:p>
    <w:p>
      <w:pPr>
        <w:numPr>
          <w:ilvl w:val="0"/>
          <w:numId w:val="1003"/>
        </w:numPr>
        <w:pStyle w:val="Compact"/>
      </w:pPr>
      <w:r>
        <w:rPr>
          <w:bCs/>
          <w:b/>
        </w:rPr>
        <w:t xml:space="preserve">Practical Competency Framework</w:t>
      </w:r>
      <w:r>
        <w:t xml:space="preserve">: A validated model for accountant training that bridges Bangladesh's regulatory environment with global best practices, specifically addressing Dhaka's SME-heavy market dynamics.</w:t>
      </w:r>
    </w:p>
    <w:p>
      <w:pPr>
        <w:numPr>
          <w:ilvl w:val="0"/>
          <w:numId w:val="1003"/>
        </w:numPr>
        <w:pStyle w:val="Compact"/>
      </w:pPr>
      <w:r>
        <w:rPr>
          <w:bCs/>
          <w:b/>
        </w:rPr>
        <w:t xml:space="preserve">Policy Recommendations</w:t>
      </w:r>
      <w:r>
        <w:t xml:space="preserve">: Evidence-based proposals for ICAB and the Bangladesh Accounting Standards Board (BASB) to reform certification requirements, including mandatory digital literacy modules and IFRS-Bangladesh tax integration.</w:t>
      </w:r>
    </w:p>
    <w:p>
      <w:pPr>
        <w:numPr>
          <w:ilvl w:val="0"/>
          <w:numId w:val="1003"/>
        </w:numPr>
        <w:pStyle w:val="Compact"/>
      </w:pPr>
      <w:r>
        <w:rPr>
          <w:bCs/>
          <w:b/>
        </w:rPr>
        <w:t xml:space="preserve">Economic Impact Assessment</w:t>
      </w:r>
      <w:r>
        <w:t xml:space="preserve">: Quantifiable data demonstrating how certified accountants reduce compliance costs by 30%+ in Dhaka businesses, directly supporting Bangladesh's goal to increase SME productivity by 25% (as per Vision 2041).</w:t>
      </w:r>
    </w:p>
    <w:p>
      <w:pPr>
        <w:pStyle w:val="FirstParagraph"/>
      </w:pPr>
      <w:r>
        <w:t xml:space="preserve">Crucially, this thesis will address the urgent need for a</w:t>
      </w:r>
      <w:r>
        <w:t xml:space="preserve"> </w:t>
      </w:r>
      <w:r>
        <w:rPr>
          <w:bCs/>
          <w:b/>
        </w:rPr>
        <w:t xml:space="preserve">Thesis Proposal</w:t>
      </w:r>
      <w:r>
        <w:t xml:space="preserve"> </w:t>
      </w:r>
      <w:r>
        <w:t xml:space="preserve">that moves beyond theoretical discourse to deliver actionable solutions tailored to Bangladesh Dhaka's unique economic context. Unlike generic studies on accounting, this research centers on local challenges—such as navigating Dhaka's municipal tax bureaucracy or integrating Islamic finance principles into corporate reporting—that global frameworks often overlook.</w:t>
      </w:r>
    </w:p>
    <w:bookmarkEnd w:id="24"/>
    <w:bookmarkStart w:id="25" w:name="relevance-to-bangladesh-dhaka"/>
    <w:p>
      <w:pPr>
        <w:pStyle w:val="Heading2"/>
      </w:pPr>
      <w:r>
        <w:t xml:space="preserve">Relevance to Bangladesh Dhaka</w:t>
      </w:r>
    </w:p>
    <w:p>
      <w:pPr>
        <w:pStyle w:val="FirstParagraph"/>
      </w:pPr>
      <w:r>
        <w:t xml:space="preserve">Dhaka’s rapid urbanization has intensified pressure on financial infrastructure. With 15 million residents and over 4,000 registered companies in the metro area (as of 2023), accurate accounting isn't merely a business need—it's a public good. Poor financial reporting contributes to tax evasion (estimated at $3 billion annually for Dhaka alone) and undermines government revenue for critical services. This research directly responds to the Bangladesh government's "Digital Bangladesh" initiative, positioning accountants as key agents in digitizing financial governance.</w:t>
      </w:r>
    </w:p>
    <w:p>
      <w:pPr>
        <w:pStyle w:val="BodyText"/>
      </w:pPr>
      <w:r>
        <w:t xml:space="preserve">Furthermore, this work aligns with Dhaka’s strategic vision to become a South Asian financial hub by 2030. As noted in the Dhaka Metropolitan Development Plan (2019-2035), professional accounting standards are identified as a critical enabler for attracting foreign investment. A certified accountant workforce would directly enhance Dhaka's competitive position against cities like Mumbai and Colombo.</w:t>
      </w:r>
    </w:p>
    <w:bookmarkEnd w:id="25"/>
    <w:bookmarkStart w:id="26" w:name="conclusion"/>
    <w:p>
      <w:pPr>
        <w:pStyle w:val="Heading2"/>
      </w:pPr>
      <w:r>
        <w:t xml:space="preserve">Conclusion</w:t>
      </w:r>
    </w:p>
    <w:p>
      <w:pPr>
        <w:pStyle w:val="FirstParagraph"/>
      </w:pPr>
      <w:r>
        <w:t xml:space="preserve">The proposed research is not merely an academic exercise but a strategic necessity for Bangladesh Dhaka. By developing a localized, future-ready competency model for the accountant profession, this thesis will equip professionals to navigate Bangladesh’s evolving financial landscape while driving tangible economic benefits. The findings will provide immediate value to ICAB-certified accountants in Dhaka, multinational corporations operating in the city, and policymakers striving to modernize Bangladesh's financial ecosystem. Ultimately, this</w:t>
      </w:r>
      <w:r>
        <w:t xml:space="preserve"> </w:t>
      </w:r>
      <w:r>
        <w:rPr>
          <w:bCs/>
          <w:b/>
        </w:rPr>
        <w:t xml:space="preserve">Thesis Proposal</w:t>
      </w:r>
      <w:r>
        <w:t xml:space="preserve"> </w:t>
      </w:r>
      <w:r>
        <w:t xml:space="preserve">seeks to transform the accountant from a compliance function into a strategic business partner—critical for Bangladesh Dhaka’s journey toward sustainable economic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Accountants in Bangladesh Dhaka</dc:title>
  <dc:creator/>
  <dc:language>en</dc:language>
  <cp:keywords/>
  <dcterms:created xsi:type="dcterms:W3CDTF">2026-07-23T04:52:27Z</dcterms:created>
  <dcterms:modified xsi:type="dcterms:W3CDTF">2026-07-23T04:52:27Z</dcterms:modified>
</cp:coreProperties>
</file>

<file path=docProps/custom.xml><?xml version="1.0" encoding="utf-8"?>
<Properties xmlns="http://schemas.openxmlformats.org/officeDocument/2006/custom-properties" xmlns:vt="http://schemas.openxmlformats.org/officeDocument/2006/docPropsVTypes"/>
</file>