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Accountant</w:t>
      </w:r>
      <w:r>
        <w:t xml:space="preserve"> </w:t>
      </w:r>
      <w:r>
        <w:t xml:space="preserve">in</w:t>
      </w:r>
      <w:r>
        <w:t xml:space="preserve"> </w:t>
      </w:r>
      <w:r>
        <w:t xml:space="preserve">Modern</w:t>
      </w:r>
      <w:r>
        <w:t xml:space="preserve"> </w:t>
      </w:r>
      <w:r>
        <w:t xml:space="preserve">Belgian</w:t>
      </w:r>
      <w:r>
        <w:t xml:space="preserve"> </w:t>
      </w:r>
      <w:r>
        <w:t xml:space="preserve">Business</w:t>
      </w:r>
      <w:r>
        <w:t xml:space="preserve"> </w:t>
      </w:r>
      <w:r>
        <w:t xml:space="preserve">Ecosystem</w:t>
      </w:r>
      <w:r>
        <w:t xml:space="preserve"> </w:t>
      </w:r>
      <w:r>
        <w:t xml:space="preserve">-</w:t>
      </w:r>
      <w:r>
        <w:t xml:space="preserve"> </w:t>
      </w:r>
      <w:r>
        <w:t xml:space="preserve">Focus</w:t>
      </w:r>
      <w:r>
        <w:t xml:space="preserve"> </w:t>
      </w:r>
      <w:r>
        <w:t xml:space="preserve">on</w:t>
      </w:r>
      <w:r>
        <w:t xml:space="preserve"> </w:t>
      </w:r>
      <w:r>
        <w:t xml:space="preserve">Brussels</w:t>
      </w:r>
    </w:p>
    <w:bookmarkStart w:id="29" w:name="X04b25eb7a435e67525ec732fcf72866fdcb548f"/>
    <w:p>
      <w:pPr>
        <w:pStyle w:val="Heading1"/>
      </w:pPr>
      <w:r>
        <w:t xml:space="preserve">Thesis Proposal: The Evolving Role of the Accountant in Belgium's Dynamic Economic Landscape with Special Emphasis on Brussels</w:t>
      </w:r>
    </w:p>
    <w:bookmarkStart w:id="20" w:name="introduction"/>
    <w:p>
      <w:pPr>
        <w:pStyle w:val="Heading2"/>
      </w:pPr>
      <w:r>
        <w:t xml:space="preserve">1. Introduction</w:t>
      </w:r>
    </w:p>
    <w:p>
      <w:pPr>
        <w:pStyle w:val="FirstParagraph"/>
      </w:pPr>
      <w:r>
        <w:t xml:space="preserve">The global financial landscape is undergoing unprecedented transformation, demanding sophisticated accounting practices that align with complex regulatory frameworks. In this context, the role of the</w:t>
      </w:r>
      <w:r>
        <w:t xml:space="preserve"> </w:t>
      </w:r>
      <w:r>
        <w:rPr>
          <w:bCs/>
          <w:b/>
        </w:rPr>
        <w:t xml:space="preserve">Accountant</w:t>
      </w:r>
      <w:r>
        <w:t xml:space="preserve"> </w:t>
      </w:r>
      <w:r>
        <w:t xml:space="preserve">has evolved from traditional bookkeeping to strategic business advisory, particularly within international economic hubs. This thesis proposal specifically examines this evolution within</w:t>
      </w:r>
      <w:r>
        <w:t xml:space="preserve"> </w:t>
      </w:r>
      <w:r>
        <w:rPr>
          <w:iCs/>
          <w:i/>
        </w:rPr>
        <w:t xml:space="preserve">Belgium Brussels</w:t>
      </w:r>
      <w:r>
        <w:t xml:space="preserve">, the political and administrative heart of the European Union where over 50% of EU institutions operate. As a nexus for multinational corporations, international NGOs, and cross-border financial operations, Brussels presents a unique laboratory for studying contemporary accounting challenges. This research will investigate how modern</w:t>
      </w:r>
      <w:r>
        <w:t xml:space="preserve"> </w:t>
      </w:r>
      <w:r>
        <w:rPr>
          <w:bCs/>
          <w:b/>
        </w:rPr>
        <w:t xml:space="preserve">Accountant</w:t>
      </w:r>
      <w:r>
        <w:t xml:space="preserve">s in</w:t>
      </w:r>
      <w:r>
        <w:t xml:space="preserve"> </w:t>
      </w:r>
      <w:r>
        <w:rPr>
          <w:iCs/>
          <w:i/>
        </w:rPr>
        <w:t xml:space="preserve">Belgium Brussels</w:t>
      </w:r>
      <w:r>
        <w:t xml:space="preserve"> </w:t>
      </w:r>
      <w:r>
        <w:t xml:space="preserve">navigate regulatory complexity while driving organizational value.</w:t>
      </w:r>
    </w:p>
    <w:bookmarkEnd w:id="20"/>
    <w:bookmarkStart w:id="21" w:name="problem-statement"/>
    <w:p>
      <w:pPr>
        <w:pStyle w:val="Heading2"/>
      </w:pPr>
      <w:r>
        <w:t xml:space="preserve">2. Problem Statement</w:t>
      </w:r>
    </w:p>
    <w:p>
      <w:pPr>
        <w:pStyle w:val="FirstParagraph"/>
      </w:pPr>
      <w:r>
        <w:t xml:space="preserve">Beyond traditional tax compliance, accountants in Brussels face mounting pressures from EU directives (GDPR, CSRD, MiFID II), multi-jurisdictional reporting requirements (Belgian Commercial Code + EU standards), and the demand for real-time financial analytics. Current academic literature largely overlooks the specific contextual challenges of</w:t>
      </w:r>
      <w:r>
        <w:t xml:space="preserve"> </w:t>
      </w:r>
      <w:r>
        <w:rPr>
          <w:iCs/>
          <w:i/>
        </w:rPr>
        <w:t xml:space="preserve">Belgium Brussels</w:t>
      </w:r>
      <w:r>
        <w:t xml:space="preserve">, treating Belgian accounting as monolithic rather than recognizing its unique position at the intersection of national law, EU regulation, and global business practices. This gap is critical: a recent KPMG survey revealed 73% of multinational firms in Brussels reported accounting-related regulatory delays impacting their operations, yet no localized study has examined how</w:t>
      </w:r>
      <w:r>
        <w:t xml:space="preserve"> </w:t>
      </w:r>
      <w:r>
        <w:rPr>
          <w:bCs/>
          <w:b/>
        </w:rPr>
        <w:t xml:space="preserve">Accountant</w:t>
      </w:r>
      <w:r>
        <w:t xml:space="preserve">s adapt to these pressures. Without understanding this dynamic, educational programs may fail to prepare future professionals for the realities of practicing in Europe's most complex financial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competencies required of accountants operating within Brussels' unique regulatory environment.</w:t>
      </w:r>
    </w:p>
    <w:p>
      <w:pPr>
        <w:numPr>
          <w:ilvl w:val="0"/>
          <w:numId w:val="1001"/>
        </w:numPr>
        <w:pStyle w:val="Compact"/>
      </w:pPr>
      <w:r>
        <w:t xml:space="preserve">To analyze how compliance with EU directives (particularly CSRD and GDPR) impacts daily accounting practices in Belgian firms headquartered in Brussels.</w:t>
      </w:r>
    </w:p>
    <w:p>
      <w:pPr>
        <w:numPr>
          <w:ilvl w:val="0"/>
          <w:numId w:val="1001"/>
        </w:numPr>
        <w:pStyle w:val="Compact"/>
      </w:pPr>
      <w:r>
        <w:t xml:space="preserve">To identify innovative digital tools currently adopted by leading accountancy firms in</w:t>
      </w:r>
      <w:r>
        <w:t xml:space="preserve"> </w:t>
      </w:r>
      <w:r>
        <w:rPr>
          <w:iCs/>
          <w:i/>
        </w:rPr>
        <w:t xml:space="preserve">Belgium Brussels</w:t>
      </w:r>
      <w:r>
        <w:t xml:space="preserve"> </w:t>
      </w:r>
      <w:r>
        <w:t xml:space="preserve">to enhance efficiency and strategic value.</w:t>
      </w:r>
    </w:p>
    <w:p>
      <w:pPr>
        <w:numPr>
          <w:ilvl w:val="0"/>
          <w:numId w:val="1001"/>
        </w:numPr>
        <w:pStyle w:val="Compact"/>
      </w:pPr>
      <w:r>
        <w:t xml:space="preserve">To assess the perceived gap between academic accounting curricula and practical demands faced by new graduates entering the Brussels job market.</w:t>
      </w:r>
    </w:p>
    <w:bookmarkEnd w:id="22"/>
    <w:bookmarkStart w:id="23" w:name="literature-review-key-gaps-identified"/>
    <w:p>
      <w:pPr>
        <w:pStyle w:val="Heading2"/>
      </w:pPr>
      <w:r>
        <w:t xml:space="preserve">4. Literature Review (Key Gaps Identified)</w:t>
      </w:r>
    </w:p>
    <w:p>
      <w:pPr>
        <w:pStyle w:val="FirstParagraph"/>
      </w:pPr>
      <w:r>
        <w:t xml:space="preserve">Existing research on accounting in Europe predominantly focuses on Germany or France (e.g., Schäfer, 2019) or general EU compliance (Davies &amp; Pilkington, 2021). Studies examining Belgian accounting systems often fail to distinguish between regional practices within</w:t>
      </w:r>
      <w:r>
        <w:t xml:space="preserve"> </w:t>
      </w:r>
      <w:r>
        <w:rPr>
          <w:iCs/>
          <w:i/>
        </w:rPr>
        <w:t xml:space="preserve">Belgium Brussels</w:t>
      </w:r>
      <w:r>
        <w:t xml:space="preserve"> </w:t>
      </w:r>
      <w:r>
        <w:t xml:space="preserve">and the rest of Flanders/Wallonia. Crucially, no scholarship addresses how the presence of EU institutions shapes local accounting standards – a critical factor distinguishing Brussels from other European financial centers. The OECD's 2023 report on "Tax Compliance in Multinational Hubs" noted Belgium's high compliance costs but provided no qualitative insight into</w:t>
      </w:r>
      <w:r>
        <w:t xml:space="preserve"> </w:t>
      </w:r>
      <w:r>
        <w:rPr>
          <w:bCs/>
          <w:b/>
        </w:rPr>
        <w:t xml:space="preserve">Accountant</w:t>
      </w:r>
      <w:r>
        <w:t xml:space="preserve"> </w:t>
      </w:r>
      <w:r>
        <w:t xml:space="preserve">experiences. This thesis directly addresses these gaps by centering the research on</w:t>
      </w:r>
      <w:r>
        <w:t xml:space="preserve"> </w:t>
      </w:r>
      <w:r>
        <w:rPr>
          <w:iCs/>
          <w:i/>
        </w:rPr>
        <w:t xml:space="preserve">Belgium Brussels</w:t>
      </w:r>
      <w:r>
        <w:t xml:space="preserve">, treating it not as a generic Belgian context but as a distinct institutional ecosystem.</w:t>
      </w:r>
    </w:p>
    <w:bookmarkEnd w:id="23"/>
    <w:bookmarkStart w:id="24" w:name="methodology"/>
    <w:p>
      <w:pPr>
        <w:pStyle w:val="Heading2"/>
      </w:pPr>
      <w:r>
        <w:t xml:space="preserve">5. Methodology</w:t>
      </w:r>
    </w:p>
    <w:p>
      <w:pPr>
        <w:pStyle w:val="FirstParagraph"/>
      </w:pPr>
      <w:r>
        <w:t xml:space="preserve">This qualitative-quantitative mixed-methods study will employ three complementary approaches:</w:t>
      </w:r>
    </w:p>
    <w:p>
      <w:pPr>
        <w:numPr>
          <w:ilvl w:val="0"/>
          <w:numId w:val="1002"/>
        </w:numPr>
        <w:pStyle w:val="Compact"/>
      </w:pPr>
      <w:r>
        <w:rPr>
          <w:bCs/>
          <w:b/>
        </w:rPr>
        <w:t xml:space="preserve">Primary Data Collection (Brussels-Based):</w:t>
      </w:r>
      <w:r>
        <w:t xml:space="preserve"> </w:t>
      </w:r>
      <w:r>
        <w:t xml:space="preserve">Semi-structured interviews with 30 practicing accountants across 15 firms (including Deloitte, PwC, EY Brussels offices and local firms like BDO Belgium), focusing on daily challenges in regulatory navigation. A survey of 200 accounting students at ULiège and KU Leuven will gauge curriculum relevance perceptions.</w:t>
      </w:r>
    </w:p>
    <w:p>
      <w:pPr>
        <w:numPr>
          <w:ilvl w:val="0"/>
          <w:numId w:val="1002"/>
        </w:numPr>
        <w:pStyle w:val="Compact"/>
      </w:pPr>
      <w:r>
        <w:rPr>
          <w:bCs/>
          <w:b/>
        </w:rPr>
        <w:t xml:space="preserve">Document Analysis:</w:t>
      </w:r>
      <w:r>
        <w:t xml:space="preserve"> </w:t>
      </w:r>
      <w:r>
        <w:t xml:space="preserve">Comparative study of Belgian Commercial Code amendments (2019-2024) against EU directives, with emphasis on Brussels-specific implementation variations.</w:t>
      </w:r>
    </w:p>
    <w:p>
      <w:pPr>
        <w:numPr>
          <w:ilvl w:val="0"/>
          <w:numId w:val="1002"/>
        </w:numPr>
        <w:pStyle w:val="Compact"/>
      </w:pPr>
      <w:r>
        <w:rPr>
          <w:bCs/>
          <w:b/>
        </w:rPr>
        <w:t xml:space="preserve">Case Studies:</w:t>
      </w:r>
      <w:r>
        <w:t xml:space="preserve"> </w:t>
      </w:r>
      <w:r>
        <w:t xml:space="preserve">In-depth analysis of 3 firms (a multinational HQ, an EU institution support entity, and a mid-sized Belgian SME) to trace accounting workflow adaptations to regulatory changes.</w:t>
      </w:r>
    </w:p>
    <w:p>
      <w:pPr>
        <w:pStyle w:val="FirstParagraph"/>
      </w:pPr>
      <w:r>
        <w:t xml:space="preserve">Data will be collected over 12 months in Brussels with ethical approval from the University of Louvain. Thematic analysis will identify patterns in challenges and innovations among</w:t>
      </w:r>
      <w:r>
        <w:t xml:space="preserve"> </w:t>
      </w:r>
      <w:r>
        <w:rPr>
          <w:bCs/>
          <w:b/>
        </w:rPr>
        <w:t xml:space="preserve">Accountant</w:t>
      </w:r>
      <w:r>
        <w:t xml:space="preserve">s, using NVivo software for qualitative coding.</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four key contributions:</w:t>
      </w:r>
    </w:p>
    <w:p>
      <w:pPr>
        <w:numPr>
          <w:ilvl w:val="0"/>
          <w:numId w:val="1003"/>
        </w:numPr>
        <w:pStyle w:val="Compact"/>
      </w:pPr>
      <w:r>
        <w:rPr>
          <w:iCs/>
          <w:i/>
        </w:rPr>
        <w:t xml:space="preserve">A Framework for Brussels-Specific Accounting Competencies:</w:t>
      </w:r>
      <w:r>
        <w:t xml:space="preserve"> </w:t>
      </w:r>
      <w:r>
        <w:t xml:space="preserve">A validated model identifying 5 core skill sets beyond technical knowledge (e.g., EU policy interpretation, cross-cultural stakeholder management) crucial for success in</w:t>
      </w:r>
      <w:r>
        <w:t xml:space="preserve"> </w:t>
      </w:r>
      <w:r>
        <w:rPr>
          <w:iCs/>
          <w:i/>
        </w:rPr>
        <w:t xml:space="preserve">Belgium Brussels</w:t>
      </w:r>
      <w:r>
        <w:t xml:space="preserve">.</w:t>
      </w:r>
    </w:p>
    <w:p>
      <w:pPr>
        <w:numPr>
          <w:ilvl w:val="0"/>
          <w:numId w:val="1003"/>
        </w:numPr>
        <w:pStyle w:val="Compact"/>
      </w:pPr>
      <w:r>
        <w:rPr>
          <w:iCs/>
          <w:i/>
        </w:rPr>
        <w:t xml:space="preserve">Evidence-Based Curriculum Reform Recommendations:</w:t>
      </w:r>
      <w:r>
        <w:t xml:space="preserve"> </w:t>
      </w:r>
      <w:r>
        <w:t xml:space="preserve">Data on the mismatch between academic training and workplace needs to inform universities like VIVES and HUBert in developing targeted programs.</w:t>
      </w:r>
    </w:p>
    <w:p>
      <w:pPr>
        <w:numPr>
          <w:ilvl w:val="0"/>
          <w:numId w:val="1003"/>
        </w:numPr>
        <w:pStyle w:val="Compact"/>
      </w:pPr>
      <w:r>
        <w:rPr>
          <w:iCs/>
          <w:i/>
        </w:rPr>
        <w:t xml:space="preserve">Best Practice Toolkit:</w:t>
      </w:r>
      <w:r>
        <w:t xml:space="preserve"> </w:t>
      </w:r>
      <w:r>
        <w:t xml:space="preserve">A practical guide for accountancy firms in Brussels on digital adoption (e.g., AI-driven compliance monitoring) based on observed innovations.</w:t>
      </w:r>
    </w:p>
    <w:p>
      <w:pPr>
        <w:numPr>
          <w:ilvl w:val="0"/>
          <w:numId w:val="1003"/>
        </w:numPr>
        <w:pStyle w:val="Compact"/>
      </w:pPr>
      <w:r>
        <w:rPr>
          <w:iCs/>
          <w:i/>
        </w:rPr>
        <w:t xml:space="preserve">Policy Input for Belgian Authorities:</w:t>
      </w:r>
      <w:r>
        <w:t xml:space="preserve"> </w:t>
      </w:r>
      <w:r>
        <w:t xml:space="preserve">Findings to inform the Belgian Federal Public Service Finance's 2025 regulatory modernization plan, specifically addressing EU alignment challenges.</w:t>
      </w:r>
    </w:p>
    <w:p>
      <w:pPr>
        <w:pStyle w:val="FirstParagraph"/>
      </w:pPr>
      <w:r>
        <w:t xml:space="preserve">The significance extends beyond academia: As Brussels anchors Europe's economic governance, understanding how the</w:t>
      </w:r>
      <w:r>
        <w:t xml:space="preserve"> </w:t>
      </w:r>
      <w:r>
        <w:rPr>
          <w:bCs/>
          <w:b/>
        </w:rPr>
        <w:t xml:space="preserve">Accountant</w:t>
      </w:r>
      <w:r>
        <w:t xml:space="preserve"> </w:t>
      </w:r>
      <w:r>
        <w:t xml:space="preserve">operates here directly impacts business confidence across the continent. A more effective accounting profession in this critical node will enhance Belgium's reputation as a stable hub for international finance – a strategic priority given competition from Luxembourg and Amsterdam.</w:t>
      </w:r>
    </w:p>
    <w:bookmarkEnd w:id="25"/>
    <w:bookmarkStart w:id="26" w:name="timeline-18-month-proposal"/>
    <w:p>
      <w:pPr>
        <w:pStyle w:val="Heading2"/>
      </w:pPr>
      <w:r>
        <w:t xml:space="preserve">7. Timeline (18-Month Proposal)</w:t>
      </w:r>
    </w:p>
    <w:p>
      <w:pPr>
        <w:numPr>
          <w:ilvl w:val="0"/>
          <w:numId w:val="1004"/>
        </w:numPr>
        <w:pStyle w:val="Compact"/>
      </w:pPr>
      <w:r>
        <w:rPr>
          <w:bCs/>
          <w:b/>
        </w:rPr>
        <w:t xml:space="preserve">Months 1-3:</w:t>
      </w:r>
      <w:r>
        <w:t xml:space="preserve"> </w:t>
      </w:r>
      <w:r>
        <w:t xml:space="preserve">Literature review finalization, ethics approval, interview protocol development with Brussels accounting associations (BVA, IAB).</w:t>
      </w:r>
    </w:p>
    <w:p>
      <w:pPr>
        <w:numPr>
          <w:ilvl w:val="0"/>
          <w:numId w:val="1004"/>
        </w:numPr>
        <w:pStyle w:val="Compact"/>
      </w:pPr>
      <w:r>
        <w:rPr>
          <w:bCs/>
          <w:b/>
        </w:rPr>
        <w:t xml:space="preserve">Months 4-7:</w:t>
      </w:r>
      <w:r>
        <w:t xml:space="preserve"> </w:t>
      </w:r>
      <w:r>
        <w:t xml:space="preserve">Data collection: Interviews + student survey in Brussels; initial document analysis.</w:t>
      </w:r>
    </w:p>
    <w:p>
      <w:pPr>
        <w:numPr>
          <w:ilvl w:val="0"/>
          <w:numId w:val="1004"/>
        </w:numPr>
        <w:pStyle w:val="Compact"/>
      </w:pPr>
      <w:r>
        <w:rPr>
          <w:bCs/>
          <w:b/>
        </w:rPr>
        <w:t xml:space="preserve">Months 8-12:</w:t>
      </w:r>
      <w:r>
        <w:t xml:space="preserve"> </w:t>
      </w:r>
      <w:r>
        <w:t xml:space="preserve">Thematic coding, case study development, preliminary framework drafting.</w:t>
      </w:r>
    </w:p>
    <w:p>
      <w:pPr>
        <w:numPr>
          <w:ilvl w:val="0"/>
          <w:numId w:val="1004"/>
        </w:numPr>
        <w:pStyle w:val="Compact"/>
      </w:pPr>
      <w:r>
        <w:rPr>
          <w:bCs/>
          <w:b/>
        </w:rPr>
        <w:t xml:space="preserve">Months 13-15:</w:t>
      </w:r>
      <w:r>
        <w:t xml:space="preserve"> </w:t>
      </w:r>
      <w:r>
        <w:t xml:space="preserve">Validation workshops with Brussels accounting firms (e.g., at the Belgian Accounting Institute), final framework refinement.</w:t>
      </w:r>
    </w:p>
    <w:p>
      <w:pPr>
        <w:numPr>
          <w:ilvl w:val="0"/>
          <w:numId w:val="1004"/>
        </w:numPr>
        <w:pStyle w:val="Compact"/>
      </w:pPr>
      <w:r>
        <w:rPr>
          <w:bCs/>
          <w:b/>
        </w:rPr>
        <w:t xml:space="preserve">Months 16-18:</w:t>
      </w:r>
      <w:r>
        <w:t xml:space="preserve"> </w:t>
      </w:r>
      <w:r>
        <w:t xml:space="preserve">Thesis writing, policy brief preparation for Belgian Ministry of Finance, peer-reviewed paper submission.</w:t>
      </w:r>
    </w:p>
    <w:bookmarkEnd w:id="26"/>
    <w:bookmarkStart w:id="27" w:name="conclusion"/>
    <w:p>
      <w:pPr>
        <w:pStyle w:val="Heading2"/>
      </w:pPr>
      <w:r>
        <w:t xml:space="preserve">8. Conclusion</w:t>
      </w:r>
    </w:p>
    <w:p>
      <w:pPr>
        <w:pStyle w:val="FirstParagraph"/>
      </w:pPr>
      <w:r>
        <w:t xml:space="preserve">The trajectory of the profession in Belgium Brussels is pivotal to Europe's economic stability. This thesis proposal establishes a rigorous investigation into how the modern</w:t>
      </w:r>
      <w:r>
        <w:t xml:space="preserve"> </w:t>
      </w:r>
      <w:r>
        <w:rPr>
          <w:bCs/>
          <w:b/>
        </w:rPr>
        <w:t xml:space="preserve">Accountant</w:t>
      </w:r>
      <w:r>
        <w:t xml:space="preserve"> </w:t>
      </w:r>
      <w:r>
        <w:t xml:space="preserve">navigates this high-stakes environment – a question of profound significance given Brussels' role as the EU's administrative engine. By centering research on</w:t>
      </w:r>
      <w:r>
        <w:t xml:space="preserve"> </w:t>
      </w:r>
      <w:r>
        <w:rPr>
          <w:iCs/>
          <w:i/>
        </w:rPr>
        <w:t xml:space="preserve">Belgium Brussels</w:t>
      </w:r>
      <w:r>
        <w:t xml:space="preserve">, not merely Belgium, this study moves beyond generic analyses to deliver actionable insights for practitioners, educators, and policymakers operating at the very epicenter of European governance. The findings will equip future accountants with competencies to thrive where national laws meet EU strategy – a necessity in today's interconnected financial world. This research is not just about accounting; it's about ensuring Belgium Brussels remains a resilient pillar of European economic architecture through professional excellence.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Accountant in Modern Belgian Business Ecosystem - Focus on Brussels</dc:title>
  <dc:creator/>
  <dc:language>en</dc:language>
  <cp:keywords/>
  <dcterms:created xsi:type="dcterms:W3CDTF">2026-07-20T00:59:14Z</dcterms:created>
  <dcterms:modified xsi:type="dcterms:W3CDTF">2026-07-20T00:59:14Z</dcterms:modified>
</cp:coreProperties>
</file>

<file path=docProps/custom.xml><?xml version="1.0" encoding="utf-8"?>
<Properties xmlns="http://schemas.openxmlformats.org/officeDocument/2006/custom-properties" xmlns:vt="http://schemas.openxmlformats.org/officeDocument/2006/docPropsVTypes"/>
</file>