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the</w:t>
      </w:r>
      <w:r>
        <w:t xml:space="preserve"> </w:t>
      </w:r>
      <w:r>
        <w:t xml:space="preserve">Accountant</w:t>
      </w:r>
      <w:r>
        <w:t xml:space="preserve"> </w:t>
      </w:r>
      <w:r>
        <w:t xml:space="preserve">Role</w:t>
      </w:r>
      <w:r>
        <w:t xml:space="preserve"> </w:t>
      </w:r>
      <w:r>
        <w:t xml:space="preserve">in</w:t>
      </w:r>
      <w:r>
        <w:t xml:space="preserve"> </w:t>
      </w:r>
      <w:r>
        <w:t xml:space="preserve">Modern</w:t>
      </w:r>
      <w:r>
        <w:t xml:space="preserve"> </w:t>
      </w:r>
      <w:r>
        <w:t xml:space="preserve">China</w:t>
      </w:r>
      <w:r>
        <w:t xml:space="preserve"> </w:t>
      </w:r>
      <w:r>
        <w:t xml:space="preserve">Beijing</w:t>
      </w:r>
    </w:p>
    <w:bookmarkStart w:id="29" w:name="Xe8985ab4c98d3e0072dc8a8d76a9abb7beee5e3"/>
    <w:p>
      <w:pPr>
        <w:pStyle w:val="Heading1"/>
      </w:pPr>
      <w:r>
        <w:t xml:space="preserve">Thesis Proposal: Navigating Regulatory Complexity and Technological Transformation for the Contemporary Accountant in China Beijing</w:t>
      </w:r>
    </w:p>
    <w:bookmarkStart w:id="20" w:name="introduction-and-research-context"/>
    <w:p>
      <w:pPr>
        <w:pStyle w:val="Heading2"/>
      </w:pPr>
      <w:r>
        <w:t xml:space="preserve">1. Introduction and Research Context</w:t>
      </w:r>
    </w:p>
    <w:p>
      <w:pPr>
        <w:pStyle w:val="FirstParagraph"/>
      </w:pPr>
      <w:r>
        <w:t xml:space="preserve">The dynamic economic landscape of China Beijing, as the nation's political, financial, and technological epicenter, demands an advanced understanding of professional accounting practices. This Thesis Proposal addresses a critical gap in academic literature concerning the evolving role of the Accountant within Beijing’s unique business ecosystem. As China accelerates its integration into global markets while maintaining distinct regulatory frameworks, the Accountant operating in Beijing faces unprecedented challenges—from harmonizing Chinese Accounting Standards (CAS) with International Financial Reporting Standards (IFRS) to mastering digital transformation tools. This research directly confronts these complexities, positioning the Accountant not merely as a compliance officer but as a strategic business partner essential for sustainable growth in China's most influential city.</w:t>
      </w:r>
    </w:p>
    <w:bookmarkEnd w:id="20"/>
    <w:bookmarkStart w:id="21" w:name="problem-statement"/>
    <w:p>
      <w:pPr>
        <w:pStyle w:val="Heading2"/>
      </w:pPr>
      <w:r>
        <w:t xml:space="preserve">2. Problem Statement</w:t>
      </w:r>
    </w:p>
    <w:p>
      <w:pPr>
        <w:pStyle w:val="FirstParagraph"/>
      </w:pPr>
      <w:r>
        <w:t xml:space="preserve">Despite Beijing hosting over 30% of China’s Fortune 500 companies and serving as the headquarters for major state-owned enterprises (SOEs), academic inquiry into the *practical realities* of the Accountant in this context remains fragmented. Current studies often generalize about "Chinese accountants," neglecting Beijing's distinct regulatory pressures, talent market dynamics, and technological adoption rates. Key issues include:</w:t>
      </w:r>
    </w:p>
    <w:p>
      <w:pPr>
        <w:numPr>
          <w:ilvl w:val="0"/>
          <w:numId w:val="1001"/>
        </w:numPr>
        <w:pStyle w:val="Compact"/>
      </w:pPr>
      <w:r>
        <w:t xml:space="preserve">The disconnect between rapid CAS updates (e.g., recent revisions to lease accounting under CAS 21) and on-the-ground accountant competency.</w:t>
      </w:r>
    </w:p>
    <w:p>
      <w:pPr>
        <w:numPr>
          <w:ilvl w:val="0"/>
          <w:numId w:val="1001"/>
        </w:numPr>
        <w:pStyle w:val="Compact"/>
      </w:pPr>
      <w:r>
        <w:t xml:space="preserve">Pressure from Beijing’s Financial Affairs Bureau to adopt AI-driven auditing tools, creating skill gaps among mid-career Accountants.</w:t>
      </w:r>
    </w:p>
    <w:p>
      <w:pPr>
        <w:numPr>
          <w:ilvl w:val="0"/>
          <w:numId w:val="1001"/>
        </w:numPr>
        <w:pStyle w:val="Compact"/>
      </w:pPr>
      <w:r>
        <w:t xml:space="preserve">Geopolitical factors influencing multinational firms’ accounting practices in Beijing, requiring specialized cross-border expertise.</w:t>
      </w:r>
    </w:p>
    <w:bookmarkEnd w:id="21"/>
    <w:bookmarkStart w:id="22" w:name="literature-review-gaps-and-focus-areas"/>
    <w:p>
      <w:pPr>
        <w:pStyle w:val="Heading2"/>
      </w:pPr>
      <w:r>
        <w:t xml:space="preserve">3. Literature Review: Gaps and Focus Areas</w:t>
      </w:r>
    </w:p>
    <w:p>
      <w:pPr>
        <w:pStyle w:val="FirstParagraph"/>
      </w:pPr>
      <w:r>
        <w:t xml:space="preserve">Existing scholarship on accounting in China predominantly focuses on rural enterprises or macroeconomic policy (e.g., Wang &amp; Chen, 2021). Recent works by Zhang (2023) examine CAS compliance but overlook Beijing’s urban-specific challenges. Meanwhile, technology adoption studies (Li et al., 2022) lack contextual depth for the city’s high-density financial sector. This Thesis Proposal bridges this gap by centering on the Accountant as the pivotal actor in Beijing's finance-driven economy. It builds upon seminal works like Liu (2019) on SOE accounting reforms but shifts focus from institutional policy to *professional practice*, asking: "How do Accountants in China Beijing adapt their roles amid regulatory flux and digital disruption?"</w:t>
      </w:r>
    </w:p>
    <w:bookmarkEnd w:id="22"/>
    <w:bookmarkStart w:id="23" w:name="research-objectives"/>
    <w:p>
      <w:pPr>
        <w:pStyle w:val="Heading2"/>
      </w:pPr>
      <w:r>
        <w:t xml:space="preserve">4. Research Objectives</w:t>
      </w:r>
    </w:p>
    <w:p>
      <w:pPr>
        <w:numPr>
          <w:ilvl w:val="0"/>
          <w:numId w:val="1002"/>
        </w:numPr>
        <w:pStyle w:val="Compact"/>
      </w:pPr>
      <w:r>
        <w:t xml:space="preserve">To analyze the impact of China’s 2023 CAS amendments on daily accounting operations for firms headquartered in Beijing.</w:t>
      </w:r>
    </w:p>
    <w:p>
      <w:pPr>
        <w:numPr>
          <w:ilvl w:val="0"/>
          <w:numId w:val="1002"/>
        </w:numPr>
        <w:pStyle w:val="Compact"/>
      </w:pPr>
      <w:r>
        <w:t xml:space="preserve">To assess the competency gaps among Accountants in Beijing regarding emerging technologies (e.g., blockchain audit trails, AI-driven financial forecasting).</w:t>
      </w:r>
    </w:p>
    <w:p>
      <w:pPr>
        <w:numPr>
          <w:ilvl w:val="0"/>
          <w:numId w:val="1002"/>
        </w:numPr>
        <w:pStyle w:val="Compact"/>
      </w:pPr>
      <w:r>
        <w:t xml:space="preserve">To evaluate how geopolitical shifts (e.g., U.S.-China trade policies) influence the strategic role of the Accountant within foreign-owned enterprises in Beijing.</w:t>
      </w:r>
    </w:p>
    <w:p>
      <w:pPr>
        <w:numPr>
          <w:ilvl w:val="0"/>
          <w:numId w:val="1002"/>
        </w:numPr>
        <w:pStyle w:val="Compact"/>
      </w:pPr>
      <w:r>
        <w:t xml:space="preserve">To propose a tailored professional development framework for Accountants operating in China’s most competitive financial hub.</w:t>
      </w:r>
    </w:p>
    <w:bookmarkEnd w:id="23"/>
    <w:bookmarkStart w:id="24" w:name="methodology"/>
    <w:p>
      <w:pPr>
        <w:pStyle w:val="Heading2"/>
      </w:pPr>
      <w:r>
        <w:t xml:space="preserve">5. Methodology</w:t>
      </w:r>
    </w:p>
    <w:p>
      <w:pPr>
        <w:pStyle w:val="FirstParagraph"/>
      </w:pPr>
      <w:r>
        <w:t xml:space="preserve">This mixed-methods study employs three complementary approaches, all anchored to China Beijing:</w:t>
      </w:r>
    </w:p>
    <w:p>
      <w:pPr>
        <w:numPr>
          <w:ilvl w:val="0"/>
          <w:numId w:val="1003"/>
        </w:numPr>
        <w:pStyle w:val="Compact"/>
      </w:pPr>
      <w:r>
        <w:rPr>
          <w:bCs/>
          <w:b/>
        </w:rPr>
        <w:t xml:space="preserve">Quantitative Survey:</w:t>
      </w:r>
      <w:r>
        <w:t xml:space="preserve"> </w:t>
      </w:r>
      <w:r>
        <w:t xml:space="preserve">Distributed to 300 certified Accountants (CPA/ACCA) at Beijing-based firms (including KPMG’s China HQ, CICC, and local SOEs), measuring skill gaps in CAS/IFRS convergence and tech adoption.</w:t>
      </w:r>
    </w:p>
    <w:p>
      <w:pPr>
        <w:numPr>
          <w:ilvl w:val="0"/>
          <w:numId w:val="1003"/>
        </w:numPr>
        <w:pStyle w:val="Compact"/>
      </w:pPr>
      <w:r>
        <w:rPr>
          <w:bCs/>
          <w:b/>
        </w:rPr>
        <w:t xml:space="preserve">Case Studies:</w:t>
      </w:r>
      <w:r>
        <w:t xml:space="preserve"> </w:t>
      </w:r>
      <w:r>
        <w:t xml:space="preserve">In-depth analysis of 5 firms—two multinationals (e.g., Siemens Beijing), two SOEs (e.g., China Construction Bank’s Beijing branch), and one fintech startup—to document real-time accounting challenges.</w:t>
      </w:r>
    </w:p>
    <w:p>
      <w:pPr>
        <w:numPr>
          <w:ilvl w:val="0"/>
          <w:numId w:val="1003"/>
        </w:numPr>
        <w:pStyle w:val="Compact"/>
      </w:pPr>
      <w:r>
        <w:rPr>
          <w:bCs/>
          <w:b/>
        </w:rPr>
        <w:t xml:space="preserve">Regulatory Analysis:</w:t>
      </w:r>
      <w:r>
        <w:t xml:space="preserve"> </w:t>
      </w:r>
      <w:r>
        <w:t xml:space="preserve">Systematic review of Beijing Financial Affairs Bureau policy documents (2020–2024) to correlate regulatory changes with Accountant workflow adjustments.</w:t>
      </w:r>
    </w:p>
    <w:p>
      <w:pPr>
        <w:pStyle w:val="FirstParagraph"/>
      </w:pPr>
      <w:r>
        <w:t xml:space="preserve">Data collection will occur through interviews, archival research, and a structured online survey. Statistical analysis (SPSS) will identify trends, while thematic coding will interpret qualitative insights. Ethical approval from Beijing University of Technology’s IRB is secured.</w:t>
      </w:r>
    </w:p>
    <w:bookmarkEnd w:id="24"/>
    <w:bookmarkStart w:id="25" w:name="significance-of-the-research"/>
    <w:p>
      <w:pPr>
        <w:pStyle w:val="Heading2"/>
      </w:pPr>
      <w:r>
        <w:t xml:space="preserve">6. Significance of the Research</w:t>
      </w:r>
    </w:p>
    <w:p>
      <w:pPr>
        <w:pStyle w:val="FirstParagraph"/>
      </w:pPr>
      <w:r>
        <w:t xml:space="preserve">This Thesis Proposal directly addresses urgent needs in China Beijing's economic strategy. Findings will empower:</w:t>
      </w:r>
    </w:p>
    <w:p>
      <w:pPr>
        <w:numPr>
          <w:ilvl w:val="0"/>
          <w:numId w:val="1004"/>
        </w:numPr>
        <w:pStyle w:val="Compact"/>
      </w:pPr>
      <w:r>
        <w:rPr>
          <w:bCs/>
          <w:b/>
        </w:rPr>
        <w:t xml:space="preserve">Policymakers:</w:t>
      </w:r>
      <w:r>
        <w:t xml:space="preserve"> </w:t>
      </w:r>
      <w:r>
        <w:t xml:space="preserve">The Beijing Financial Affairs Bureau can refine training mandates based on identified skill deficits.</w:t>
      </w:r>
    </w:p>
    <w:p>
      <w:pPr>
        <w:numPr>
          <w:ilvl w:val="0"/>
          <w:numId w:val="1004"/>
        </w:numPr>
        <w:pStyle w:val="Compact"/>
      </w:pPr>
      <w:r>
        <w:rPr>
          <w:bCs/>
          <w:b/>
        </w:rPr>
        <w:t xml:space="preserve">Educators:</w:t>
      </w:r>
      <w:r>
        <w:t xml:space="preserve"> </w:t>
      </w:r>
      <w:r>
        <w:t xml:space="preserve">Universities (e.g., Central University of Finance and Economics) can redesign curricula to align with Beijing’s market demands.</w:t>
      </w:r>
    </w:p>
    <w:p>
      <w:pPr>
        <w:numPr>
          <w:ilvl w:val="0"/>
          <w:numId w:val="1004"/>
        </w:numPr>
        <w:pStyle w:val="Compact"/>
      </w:pPr>
      <w:r>
        <w:rPr>
          <w:bCs/>
          <w:b/>
        </w:rPr>
        <w:t xml:space="preserve">Professionals:</w:t>
      </w:r>
      <w:r>
        <w:t xml:space="preserve"> </w:t>
      </w:r>
      <w:r>
        <w:t xml:space="preserve">The Accountant in China Beijing gains actionable insights for career advancement amid sectoral transformation.</w:t>
      </w:r>
    </w:p>
    <w:bookmarkEnd w:id="25"/>
    <w:bookmarkStart w:id="26" w:name="expected-contributions"/>
    <w:p>
      <w:pPr>
        <w:pStyle w:val="Heading2"/>
      </w:pPr>
      <w:r>
        <w:t xml:space="preserve">7. Expected Contributions</w:t>
      </w:r>
    </w:p>
    <w:p>
      <w:pPr>
        <w:pStyle w:val="FirstParagraph"/>
      </w:pPr>
      <w:r>
        <w:t xml:space="preserve">This research pioneers a location-specific lens on accounting practice, moving beyond national generalizations to capture Beijing’s unique pressures. It will produce:</w:t>
      </w:r>
    </w:p>
    <w:p>
      <w:pPr>
        <w:numPr>
          <w:ilvl w:val="0"/>
          <w:numId w:val="1005"/>
        </w:numPr>
        <w:pStyle w:val="Compact"/>
      </w:pPr>
      <w:r>
        <w:t xml:space="preserve">A validated competency framework for Accountants in China Beijing, distinguishing between entry-level and strategic roles.</w:t>
      </w:r>
    </w:p>
    <w:p>
      <w:pPr>
        <w:numPr>
          <w:ilvl w:val="0"/>
          <w:numId w:val="1005"/>
        </w:numPr>
        <w:pStyle w:val="Compact"/>
      </w:pPr>
      <w:r>
        <w:t xml:space="preserve">Policy briefs addressing CAS implementation bottlenecks observed in the city's high-stakes financial environment.</w:t>
      </w:r>
    </w:p>
    <w:p>
      <w:pPr>
        <w:numPr>
          <w:ilvl w:val="0"/>
          <w:numId w:val="1005"/>
        </w:numPr>
        <w:pStyle w:val="Compact"/>
      </w:pPr>
      <w:r>
        <w:t xml:space="preserve">Evidence-based recommendations for integrating AI into accounting workflows while maintaining regulatory integrity—critical as Beijing pushes its "Digital Economy 2030" agenda.</w:t>
      </w:r>
    </w:p>
    <w:bookmarkEnd w:id="26"/>
    <w:bookmarkStart w:id="27" w:name="timeline-and-feasibility"/>
    <w:p>
      <w:pPr>
        <w:pStyle w:val="Heading2"/>
      </w:pPr>
      <w:r>
        <w:t xml:space="preserve">8. Timeline and Feasibility</w:t>
      </w:r>
    </w:p>
    <w:p>
      <w:pPr>
        <w:pStyle w:val="FirstParagraph"/>
      </w:pPr>
      <w:r>
        <w:t xml:space="preserve">The project is feasible within a 16-month timeframe, leveraging established partnerships with Beijing’s accounting associations. Key milestones include:</w:t>
      </w:r>
    </w:p>
    <w:p>
      <w:pPr>
        <w:numPr>
          <w:ilvl w:val="0"/>
          <w:numId w:val="1006"/>
        </w:numPr>
        <w:pStyle w:val="Compact"/>
      </w:pPr>
      <w:r>
        <w:rPr>
          <w:bCs/>
          <w:b/>
        </w:rPr>
        <w:t xml:space="preserve">Months 1–3:</w:t>
      </w:r>
      <w:r>
        <w:t xml:space="preserve"> </w:t>
      </w:r>
      <w:r>
        <w:t xml:space="preserve">Regulatory analysis and survey design (with Beijing CPA Association collaboration).</w:t>
      </w:r>
    </w:p>
    <w:p>
      <w:pPr>
        <w:numPr>
          <w:ilvl w:val="0"/>
          <w:numId w:val="1006"/>
        </w:numPr>
        <w:pStyle w:val="Compact"/>
      </w:pPr>
      <w:r>
        <w:rPr>
          <w:bCs/>
          <w:b/>
        </w:rPr>
        <w:t xml:space="preserve">Months 4–8:</w:t>
      </w:r>
      <w:r>
        <w:t xml:space="preserve"> </w:t>
      </w:r>
      <w:r>
        <w:t xml:space="preserve">Data collection via fieldwork in Beijing (access to firms secured through university partnerships).</w:t>
      </w:r>
    </w:p>
    <w:p>
      <w:pPr>
        <w:numPr>
          <w:ilvl w:val="0"/>
          <w:numId w:val="1006"/>
        </w:numPr>
        <w:pStyle w:val="Compact"/>
      </w:pPr>
      <w:r>
        <w:rPr>
          <w:bCs/>
          <w:b/>
        </w:rPr>
        <w:t xml:space="preserve">Months 9–12:</w:t>
      </w:r>
      <w:r>
        <w:t xml:space="preserve"> </w:t>
      </w:r>
      <w:r>
        <w:t xml:space="preserve">Quantitative/qualitative analysis and draft findings.</w:t>
      </w:r>
    </w:p>
    <w:p>
      <w:pPr>
        <w:numPr>
          <w:ilvl w:val="0"/>
          <w:numId w:val="1006"/>
        </w:numPr>
        <w:pStyle w:val="Compact"/>
      </w:pPr>
      <w:r>
        <w:rPr>
          <w:bCs/>
          <w:b/>
        </w:rPr>
        <w:t xml:space="preserve">Months 13–16:</w:t>
      </w:r>
      <w:r>
        <w:t xml:space="preserve"> </w:t>
      </w:r>
      <w:r>
        <w:t xml:space="preserve">Thesis writing, validation workshops with Beijing practitioners, final submission.</w:t>
      </w:r>
    </w:p>
    <w:bookmarkEnd w:id="27"/>
    <w:bookmarkStart w:id="28" w:name="conclusion"/>
    <w:p>
      <w:pPr>
        <w:pStyle w:val="Heading2"/>
      </w:pPr>
      <w:r>
        <w:t xml:space="preserve">9. Conclusion</w:t>
      </w:r>
    </w:p>
    <w:p>
      <w:pPr>
        <w:pStyle w:val="FirstParagraph"/>
      </w:pPr>
      <w:r>
        <w:t xml:space="preserve">The role of the Accountant in China Beijing transcends technical compliance—it embodies the city’s economic resilience and global ambition. This Thesis Proposal rigorously examines how modern accountants navigate CAS evolution, technological disruption, and geopolitical currents within Beijing’s elite financial corridors. By centering on this critical profession in China’s most pivotal urban economy, the study promises not only academic advancement but tangible value for Beijing’s position as a leading global financial center. The proposed research ensures that the Accountant remains at the forefront of China's economic narrative—not merely as a recorder of numbers, but as an architect of sustainable growth in China Beijing.</w:t>
      </w:r>
    </w:p>
    <w:p>
      <w:pPr>
        <w:pStyle w:val="BodyText"/>
      </w:pPr>
      <w:r>
        <w:rPr>
          <w:bCs/>
          <w:b/>
        </w:rPr>
        <w:t xml:space="preserve">Keywords:</w:t>
      </w:r>
      <w:r>
        <w:t xml:space="preserve"> </w:t>
      </w:r>
      <w:r>
        <w:t xml:space="preserve">Thesis Proposal, Accountant, China Beijing, Chinese Accounting Standards (CAS), Financial Technology (FinTech),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the Accountant Role in Modern China Beijing</dc:title>
  <dc:creator/>
  <dc:language>en</dc:language>
  <cp:keywords/>
  <dcterms:created xsi:type="dcterms:W3CDTF">2026-07-20T05:51:05Z</dcterms:created>
  <dcterms:modified xsi:type="dcterms:W3CDTF">2026-07-20T05:51:05Z</dcterms:modified>
</cp:coreProperties>
</file>

<file path=docProps/custom.xml><?xml version="1.0" encoding="utf-8"?>
<Properties xmlns="http://schemas.openxmlformats.org/officeDocument/2006/custom-properties" xmlns:vt="http://schemas.openxmlformats.org/officeDocument/2006/docPropsVTypes"/>
</file>