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Economic</w:t>
      </w:r>
      <w:r>
        <w:t xml:space="preserve"> </w:t>
      </w:r>
      <w:r>
        <w:t xml:space="preserve">Landscape</w:t>
      </w:r>
    </w:p>
    <w:bookmarkStart w:id="28" w:name="X769bebb800e74dd6fafc293bc384565a28510df"/>
    <w:p>
      <w:pPr>
        <w:pStyle w:val="Heading1"/>
      </w:pPr>
      <w:r>
        <w:t xml:space="preserve">Thesis Proposal: The Evolving Role of the Accountant in Germany Berlin's Dynamic Economic Landscape</w:t>
      </w:r>
    </w:p>
    <w:bookmarkStart w:id="20" w:name="introduction"/>
    <w:p>
      <w:pPr>
        <w:pStyle w:val="Heading2"/>
      </w:pPr>
      <w:r>
        <w:t xml:space="preserve">1. Introduction</w:t>
      </w:r>
    </w:p>
    <w:p>
      <w:pPr>
        <w:pStyle w:val="FirstParagraph"/>
      </w:pPr>
      <w:r>
        <w:t xml:space="preserve">This Thesis Proposal outlines a critical investigation into the contemporary role of the Accountant within Germany Berlin's rapidly transforming economic ecosystem. As one of Europe's most vibrant innovation hubs, Berlin hosts over 15,000 startups and serves as a major headquarters for international corporations operating across German and European markets. This research addresses a significant gap in understanding how modern accounting practices are adapting to Berlin's unique business environment—characterized by digital transformation, sustainability mandates, and complex cross-border operations. The central question guiding this study is:</w:t>
      </w:r>
      <w:r>
        <w:t xml:space="preserve"> </w:t>
      </w:r>
      <w:r>
        <w:rPr>
          <w:iCs/>
          <w:i/>
        </w:rPr>
        <w:t xml:space="preserve">How is the professional identity and operational scope of the Accountant evolving in response to regulatory shifts, technological disruption, and Berlin's distinctive economic ecosystem within Germany?</w:t>
      </w:r>
    </w:p>
    <w:bookmarkEnd w:id="20"/>
    <w:bookmarkStart w:id="21" w:name="problem-statement"/>
    <w:p>
      <w:pPr>
        <w:pStyle w:val="Heading2"/>
      </w:pPr>
      <w:r>
        <w:t xml:space="preserve">2. Problem Statement</w:t>
      </w:r>
    </w:p>
    <w:p>
      <w:pPr>
        <w:pStyle w:val="FirstParagraph"/>
      </w:pPr>
      <w:r>
        <w:t xml:space="preserve">Germany Berlin represents a microcosm of Europe's accounting challenges. While traditional financial reporting remains foundational, German accountants now navigate unprecedented demands: mandatory climate-related financial disclosures (EU CSRD), digital tax administration (e.g., Germany's "E-Faktura" system), and the integration of AI-driven bookkeeping tools. Yet, academic research largely focuses on Frankfurt or Düsseldorf as Germany's finance centers, neglecting Berlin's startup-dominated economy where accountants frequently serve as strategic advisors rather than mere compliance officers. This gap risks misaligning educational curricula with actual market needs—potentially creating a mismatch between accounting graduates and Berlin's evolving employment landscape. A comprehensive Thesis Proposal must therefore center on the Accountant as both a regulatory interpreter and innovation catalyst in Germany Berlin.</w:t>
      </w:r>
    </w:p>
    <w:bookmarkEnd w:id="21"/>
    <w:bookmarkStart w:id="22" w:name="literature-review-key-focus-areas"/>
    <w:p>
      <w:pPr>
        <w:pStyle w:val="Heading2"/>
      </w:pPr>
      <w:r>
        <w:t xml:space="preserve">3. Literature Review (Key Focus Areas)</w:t>
      </w:r>
    </w:p>
    <w:p>
      <w:pPr>
        <w:pStyle w:val="FirstParagraph"/>
      </w:pPr>
      <w:r>
        <w:t xml:space="preserve">Existing scholarship reveals critical tensions:</w:t>
      </w:r>
    </w:p>
    <w:p>
      <w:pPr>
        <w:numPr>
          <w:ilvl w:val="0"/>
          <w:numId w:val="1001"/>
        </w:numPr>
        <w:pStyle w:val="Compact"/>
      </w:pPr>
      <w:r>
        <w:t xml:space="preserve">Pfannenstiel &amp; Schmidt (2021) document how German accountants increasingly handle ESG data, yet omit Berlin-specific case studies.</w:t>
      </w:r>
    </w:p>
    <w:p>
      <w:pPr>
        <w:numPr>
          <w:ilvl w:val="0"/>
          <w:numId w:val="1001"/>
        </w:numPr>
        <w:pStyle w:val="Compact"/>
      </w:pPr>
      <w:r>
        <w:t xml:space="preserve">EU accounting directives (e.g., IFRS 9, GDPR) create compliance complexity that Berlin-based firms report as disproportionately high due to their international client bases.</w:t>
      </w:r>
    </w:p>
    <w:p>
      <w:pPr>
        <w:numPr>
          <w:ilvl w:val="0"/>
          <w:numId w:val="1001"/>
        </w:numPr>
        <w:pStyle w:val="Compact"/>
      </w:pPr>
      <w:r>
        <w:t xml:space="preserve">A 2023 Berlin Chamber of Commerce survey confirms 68% of startups rely on accountants for strategic financial planning—far beyond traditional bookkeeping—yet academic frameworks lag behind this reality.</w:t>
      </w:r>
    </w:p>
    <w:p>
      <w:pPr>
        <w:pStyle w:val="FirstParagraph"/>
      </w:pPr>
      <w:r>
        <w:t xml:space="preserve">This Thesis Proposal directly addresses these omissions by grounding analysis in Berlin's unique context. We argue that the Accountant in Germany Berlin must now master three interdependent domains:</w:t>
      </w:r>
      <w:r>
        <w:t xml:space="preserve"> </w:t>
      </w:r>
      <w:r>
        <w:rPr>
          <w:iCs/>
          <w:i/>
        </w:rPr>
        <w:t xml:space="preserve">regulatory navigation</w:t>
      </w:r>
      <w:r>
        <w:t xml:space="preserve"> </w:t>
      </w:r>
      <w:r>
        <w:t xml:space="preserve">(German/EU laws),</w:t>
      </w:r>
      <w:r>
        <w:t xml:space="preserve"> </w:t>
      </w:r>
      <w:r>
        <w:rPr>
          <w:iCs/>
          <w:i/>
        </w:rPr>
        <w:t xml:space="preserve">digital fluency</w:t>
      </w:r>
      <w:r>
        <w:t xml:space="preserve"> </w:t>
      </w:r>
      <w:r>
        <w:t xml:space="preserve">(AI tools, blockchain), and</w:t>
      </w:r>
      <w:r>
        <w:t xml:space="preserve"> </w:t>
      </w:r>
      <w:r>
        <w:rPr>
          <w:iCs/>
          <w:i/>
        </w:rPr>
        <w:t xml:space="preserve">strategic advisory</w:t>
      </w:r>
      <w:r>
        <w:t xml:space="preserve">. Ignoring this triad risks rendering traditional accounting education obsolete for the German market.</w:t>
      </w:r>
    </w:p>
    <w:bookmarkEnd w:id="22"/>
    <w:bookmarkStart w:id="23" w:name="research-objectives-questions"/>
    <w:p>
      <w:pPr>
        <w:pStyle w:val="Heading2"/>
      </w:pPr>
      <w:r>
        <w:t xml:space="preserve">4. Research Objectives &amp; Questions</w:t>
      </w:r>
    </w:p>
    <w:p>
      <w:pPr>
        <w:pStyle w:val="FirstParagraph"/>
      </w:pPr>
      <w:r>
        <w:t xml:space="preserve">This Thesis Proposal defines three primary objectives:</w:t>
      </w:r>
    </w:p>
    <w:p>
      <w:pPr>
        <w:numPr>
          <w:ilvl w:val="0"/>
          <w:numId w:val="1002"/>
        </w:numPr>
        <w:pStyle w:val="Compact"/>
      </w:pPr>
      <w:r>
        <w:t xml:space="preserve">To map the current skillset evolution of accountants in Berlin-based firms (2019–2024), identifying gaps between academic training and market demands.</w:t>
      </w:r>
    </w:p>
    <w:p>
      <w:pPr>
        <w:numPr>
          <w:ilvl w:val="0"/>
          <w:numId w:val="1002"/>
        </w:numPr>
        <w:pStyle w:val="Compact"/>
      </w:pPr>
      <w:r>
        <w:t xml:space="preserve">To analyze how Berlin's startup culture reshapes the Accountant's role from compliance-focused to value-driven business partner.</w:t>
      </w:r>
    </w:p>
    <w:p>
      <w:pPr>
        <w:numPr>
          <w:ilvl w:val="0"/>
          <w:numId w:val="1002"/>
        </w:numPr>
        <w:pStyle w:val="Compact"/>
      </w:pPr>
      <w:r>
        <w:t xml:space="preserve">To develop a framework for future-ready accounting education in Germany, prioritizing Berlin's economic pulse.</w:t>
      </w:r>
    </w:p>
    <w:p>
      <w:pPr>
        <w:pStyle w:val="FirstParagraph"/>
      </w:pPr>
      <w:r>
        <w:t xml:space="preserve">Corresponding research questions include:</w:t>
      </w:r>
    </w:p>
    <w:p>
      <w:pPr>
        <w:numPr>
          <w:ilvl w:val="0"/>
          <w:numId w:val="1003"/>
        </w:numPr>
        <w:pStyle w:val="Compact"/>
      </w:pPr>
      <w:r>
        <w:t xml:space="preserve">How do Berlin-based Accountants prioritize skills (e.g., data analytics vs. tax law) when serving EU-scale clients?</w:t>
      </w:r>
    </w:p>
    <w:p>
      <w:pPr>
        <w:numPr>
          <w:ilvl w:val="0"/>
          <w:numId w:val="1003"/>
        </w:numPr>
        <w:pStyle w:val="Compact"/>
      </w:pPr>
      <w:r>
        <w:t xml:space="preserve">In what ways does Germany's new "Digital Tax Act" alter the daily workflow of the Accountant in Berlin versus other German regions?</w:t>
      </w:r>
    </w:p>
    <w:p>
      <w:pPr>
        <w:numPr>
          <w:ilvl w:val="0"/>
          <w:numId w:val="1003"/>
        </w:numPr>
        <w:pStyle w:val="Compact"/>
      </w:pPr>
      <w:r>
        <w:t xml:space="preserve">What specific training modules would bridge the skills gap between Berlin's accounting workforce and emerging business needs?</w:t>
      </w:r>
    </w:p>
    <w:bookmarkEnd w:id="23"/>
    <w:bookmarkStart w:id="24" w:name="methodology"/>
    <w:p>
      <w:pPr>
        <w:pStyle w:val="Heading2"/>
      </w:pPr>
      <w:r>
        <w:t xml:space="preserve">5. Methodology</w:t>
      </w:r>
    </w:p>
    <w:p>
      <w:pPr>
        <w:pStyle w:val="FirstParagraph"/>
      </w:pPr>
      <w:r>
        <w:t xml:space="preserve">This mixed-methods Thesis Proposal employs a sequential design to capture both quantitative trends and qualitative insights:</w:t>
      </w:r>
    </w:p>
    <w:p>
      <w:pPr>
        <w:numPr>
          <w:ilvl w:val="0"/>
          <w:numId w:val="1004"/>
        </w:numPr>
        <w:pStyle w:val="Compact"/>
      </w:pPr>
      <w:r>
        <w:rPr>
          <w:bCs/>
          <w:b/>
        </w:rPr>
        <w:t xml:space="preserve">Phase 1: Quantitative Analysis (3 months)</w:t>
      </w:r>
      <w:r>
        <w:t xml:space="preserve"> </w:t>
      </w:r>
      <w:r>
        <w:t xml:space="preserve">– Survey of 200+ certified Accountants in Berlin (via Deutsche Gesellschaft für Internationale Zusammenarbeit) examining skill utilization, regulatory challenges, and technology adoption rates. Benchmarking against national German averages from BDO Germany's 2023 report.</w:t>
      </w:r>
    </w:p>
    <w:p>
      <w:pPr>
        <w:numPr>
          <w:ilvl w:val="0"/>
          <w:numId w:val="1004"/>
        </w:numPr>
        <w:pStyle w:val="Compact"/>
      </w:pPr>
      <w:r>
        <w:rPr>
          <w:bCs/>
          <w:b/>
        </w:rPr>
        <w:t xml:space="preserve">Phase 2: Qualitative Deep Dives (4 months)</w:t>
      </w:r>
      <w:r>
        <w:t xml:space="preserve"> </w:t>
      </w:r>
      <w:r>
        <w:t xml:space="preserve">– Semi-structured interviews with 30 Accountants across Berlin's sectors (startups, mid-sized firms, multinational HQs) and focus groups with accounting educators at Berlin universities. Analysis will follow grounded theory to identify emerging role paradigms.</w:t>
      </w:r>
    </w:p>
    <w:p>
      <w:pPr>
        <w:numPr>
          <w:ilvl w:val="0"/>
          <w:numId w:val="1004"/>
        </w:numPr>
        <w:pStyle w:val="Compact"/>
      </w:pPr>
      <w:r>
        <w:rPr>
          <w:bCs/>
          <w:b/>
        </w:rPr>
        <w:t xml:space="preserve">Phase 3: Framework Development (2 months)</w:t>
      </w:r>
      <w:r>
        <w:t xml:space="preserve"> </w:t>
      </w:r>
      <w:r>
        <w:t xml:space="preserve">– Synthesis into a "Berlin Accounting Competency Model" with actionable recommendations for German vocational training bodies (e.g., BfA) and universities.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5"/>
        </w:numPr>
        <w:pStyle w:val="Compact"/>
      </w:pPr>
      <w:r>
        <w:rPr>
          <w:bCs/>
          <w:b/>
        </w:rPr>
        <w:t xml:space="preserve">A Berlin-Specific Skill Taxonomy</w:t>
      </w:r>
      <w:r>
        <w:t xml:space="preserve"> </w:t>
      </w:r>
      <w:r>
        <w:t xml:space="preserve">– A validated list of competencies (e.g., "CSRD data mapping," "AI tool integration for VAT") essential for Accountants in Germany Berlin, moving beyond generic German accounting standards.</w:t>
      </w:r>
    </w:p>
    <w:p>
      <w:pPr>
        <w:numPr>
          <w:ilvl w:val="0"/>
          <w:numId w:val="1005"/>
        </w:numPr>
        <w:pStyle w:val="Compact"/>
      </w:pPr>
      <w:r>
        <w:rPr>
          <w:bCs/>
          <w:b/>
        </w:rPr>
        <w:t xml:space="preserve">Policy Brief for German Educational Reform</w:t>
      </w:r>
      <w:r>
        <w:t xml:space="preserve"> </w:t>
      </w:r>
      <w:r>
        <w:t xml:space="preserve">– Evidence-based recommendations targeting the Federal Ministry of Education to update vocational programs (e.g., introducing sustainability metrics into the "Diplom-Kaufmann" curriculum).</w:t>
      </w:r>
    </w:p>
    <w:p>
      <w:pPr>
        <w:numPr>
          <w:ilvl w:val="0"/>
          <w:numId w:val="1005"/>
        </w:numPr>
        <w:pStyle w:val="Compact"/>
      </w:pPr>
      <w:r>
        <w:rPr>
          <w:bCs/>
          <w:b/>
        </w:rPr>
        <w:t xml:space="preserve">Strategic Resource for Berlin Businesses</w:t>
      </w:r>
      <w:r>
        <w:t xml:space="preserve"> </w:t>
      </w:r>
      <w:r>
        <w:t xml:space="preserve">– A toolkit helping firms recruit and develop Accountants aligned with Berlin's innovation economy, directly supporting the city's goal of becoming Europe's top startup hub by 2030.</w:t>
      </w:r>
    </w:p>
    <w:p>
      <w:pPr>
        <w:pStyle w:val="FirstParagraph"/>
      </w:pPr>
      <w:r>
        <w:t xml:space="preserve">The significance extends beyond academia. As Germany Berlin drives European economic policy through initiatives like the "Berlin Innovation Act," this Thesis Proposal equips Accountants to be pivotal agents in implementing these frameworks. By positioning the Accountant as a strategic asset—not just a compliance officer—the research addresses Germany's urgent need to retain talent in its most competitive urban economy.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Key Activities</w:t>
      </w:r>
    </w:p>
    <w:p>
      <w:pPr>
        <w:pStyle w:val="BodyText"/>
      </w:pPr>
      <w:r>
        <w:t xml:space="preserve">1-2</w:t>
      </w:r>
    </w:p>
    <w:p>
      <w:pPr>
        <w:pStyle w:val="BodyText"/>
      </w:pPr>
      <w:r>
        <w:t xml:space="preserve">Literature review &amp; methodology finalization; Ethics approval from Humboldt University Berlin</w:t>
      </w:r>
    </w:p>
    <w:p>
      <w:pPr>
        <w:pStyle w:val="BodyText"/>
      </w:pPr>
      <w:r>
        <w:t xml:space="preserve">3-5</w:t>
      </w:r>
    </w:p>
    <w:p>
      <w:pPr>
        <w:pStyle w:val="BodyText"/>
      </w:pPr>
      <w:r>
        <w:t xml:space="preserve">Quantitative survey deployment; Data collection via Berliner Sparkasse partnership</w:t>
      </w:r>
    </w:p>
    <w:p>
      <w:pPr>
        <w:pStyle w:val="BodyText"/>
      </w:pPr>
      <w:r>
        <w:t xml:space="preserve">6-8</w:t>
      </w:r>
    </w:p>
    <w:p>
      <w:pPr>
        <w:pStyle w:val="BodyText"/>
      </w:pPr>
      <w:r>
        <w:t xml:space="preserve">Interviews &amp; focus groups; Thematic analysis of qualitative data</w:t>
      </w:r>
    </w:p>
    <w:p>
      <w:pPr>
        <w:pStyle w:val="BodyText"/>
      </w:pPr>
      <w:r>
        <w:t xml:space="preserve">9-10</w:t>
      </w:r>
    </w:p>
    <w:p>
      <w:pPr>
        <w:pStyle w:val="BodyText"/>
      </w:pPr>
      <w:r>
        <w:t xml:space="preserve">Drafting competency model &amp; policy recommendations; Validation with Berlin Chamber of Commerce</w:t>
      </w:r>
    </w:p>
    <w:p>
      <w:pPr>
        <w:pStyle w:val="BodyText"/>
      </w:pPr>
      <w:r>
        <w:t xml:space="preserve">11-12</w:t>
      </w:r>
    </w:p>
    <w:p>
      <w:pPr>
        <w:pStyle w:val="BodyText"/>
      </w:pPr>
      <w:r>
        <w:t xml:space="preserve">Final Thesis writing; Submission to University of Applied Sciences Berlin for review</w:t>
      </w:r>
    </w:p>
    <w:bookmarkEnd w:id="26"/>
    <w:bookmarkStart w:id="27" w:name="Xaa36dce006e9a6ae8ce86f2abf841cab36f22a1"/>
    <w:p>
      <w:pPr>
        <w:pStyle w:val="Heading2"/>
      </w:pPr>
      <w:r>
        <w:t xml:space="preserve">8. Conclusion: Why This Thesis Proposal Matters Now</w:t>
      </w:r>
    </w:p>
    <w:p>
      <w:pPr>
        <w:pStyle w:val="FirstParagraph"/>
      </w:pPr>
      <w:r>
        <w:t xml:space="preserve">In an era where Germany Berlin competes globally for talent and investment, the Accountant has evolved from a back-office function to a strategic business linchpin. This Thesis Proposal transcends generic accounting studies by anchoring its analysis in Berlin's unique economic DNA—where startups demand agile financial guidance, sustainability is non-negotiable, and digital transformation is immediate. As the German economy faces demographic challenges and climate pressures, this research ensures that the Accountant in Germany Berlin doesn't just meet standards but sets them. By defining a future-ready framework for accounting education and practice within Berlin's ecosystem, this Thesis Proposal delivers actionable value to students, firms, policymakers, and ultimately Germany's economic resilience. The findings will directly contribute to shaping how the Accountant role is taught and executed across the entire German market—not just in Berlin but as a blueprint for national adaptation.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Germany Berlin's Dynamic Economic Landscape</dc:title>
  <dc:creator/>
  <dc:language>en</dc:language>
  <cp:keywords/>
  <dcterms:created xsi:type="dcterms:W3CDTF">2026-07-15T00:53:41Z</dcterms:created>
  <dcterms:modified xsi:type="dcterms:W3CDTF">2026-07-15T00:53:41Z</dcterms:modified>
</cp:coreProperties>
</file>

<file path=docProps/custom.xml><?xml version="1.0" encoding="utf-8"?>
<Properties xmlns="http://schemas.openxmlformats.org/officeDocument/2006/custom-properties" xmlns:vt="http://schemas.openxmlformats.org/officeDocument/2006/docPropsVTypes"/>
</file>