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Germany</w:t>
      </w:r>
      <w:r>
        <w:t xml:space="preserve"> </w:t>
      </w:r>
      <w:r>
        <w:t xml:space="preserve">Munich's</w:t>
      </w:r>
      <w:r>
        <w:t xml:space="preserve"> </w:t>
      </w:r>
      <w:r>
        <w:t xml:space="preserve">Business</w:t>
      </w:r>
      <w:r>
        <w:t xml:space="preserve"> </w:t>
      </w:r>
      <w:r>
        <w:t xml:space="preserve">Landscape</w:t>
      </w:r>
    </w:p>
    <w:bookmarkStart w:id="28" w:name="X1a1c009dc6778ab259f368095de21632e7bbf4f"/>
    <w:p>
      <w:pPr>
        <w:pStyle w:val="Heading1"/>
      </w:pPr>
      <w:r>
        <w:t xml:space="preserve">Thesis Proposal: The Evolving Role of the Accountant in Germany Munich's Dynamic Business Ecosystem</w:t>
      </w:r>
    </w:p>
    <w:p>
      <w:pPr>
        <w:pStyle w:val="FirstParagraph"/>
      </w:pPr>
      <w:r>
        <w:rPr>
          <w:bCs/>
          <w:b/>
        </w:rPr>
        <w:t xml:space="preserve">Prepared for:</w:t>
      </w:r>
      <w:r>
        <w:t xml:space="preserve"> </w:t>
      </w:r>
      <w:r>
        <w:t xml:space="preserve">Faculty of Economics and Social Sciences, University of Munich</w:t>
      </w:r>
      <w:r>
        <w:br/>
      </w:r>
      <w:r>
        <w:rPr>
          <w:bCs/>
          <w:b/>
        </w:rPr>
        <w:t xml:space="preserve">Date:</w:t>
      </w:r>
      <w:r>
        <w:t xml:space="preserve"> </w:t>
      </w:r>
      <w:r>
        <w:t xml:space="preserve">October 26, 2023</w:t>
      </w:r>
      <w:r>
        <w:br/>
      </w:r>
      <w:r>
        <w:rPr>
          <w:bCs/>
          <w:b/>
        </w:rPr>
        <w:t xml:space="preserve">Researcher:</w:t>
      </w:r>
      <w:r>
        <w:t xml:space="preserve"> </w:t>
      </w:r>
      <w:r>
        <w:t xml:space="preserve">[Your Name]</w:t>
      </w:r>
    </w:p>
    <w:bookmarkStart w:id="20" w:name="i.-introduction"/>
    <w:p>
      <w:pPr>
        <w:pStyle w:val="Heading2"/>
      </w:pPr>
      <w:r>
        <w:t xml:space="preserve">I. Introduction</w:t>
      </w:r>
    </w:p>
    <w:p>
      <w:pPr>
        <w:pStyle w:val="FirstParagraph"/>
      </w:pPr>
      <w:r>
        <w:t xml:space="preserve">The role of the accountant has undergone profound transformation in contemporary business environments, particularly within the intricate regulatory framework of Germany. This Thesis Proposal examines the critical evolution of the accountant’s function in Germany Munich—a global hub for finance, technology, and manufacturing—where economic dynamism intersects with stringent legal requirements. Munich serves as an ideal case study due to its concentration of multinational corporations (e.g., BMW, Siemens), innovative startups, and Bavaria’s distinct tax regulations under the German Commercial Code (</w:t>
      </w:r>
      <w:r>
        <w:rPr>
          <w:iCs/>
          <w:i/>
        </w:rPr>
        <w:t xml:space="preserve">HGB</w:t>
      </w:r>
      <w:r>
        <w:t xml:space="preserve">). As Germany navigates digitalization (e.g.,</w:t>
      </w:r>
      <w:r>
        <w:t xml:space="preserve"> </w:t>
      </w:r>
      <w:r>
        <w:rPr>
          <w:iCs/>
          <w:i/>
        </w:rPr>
        <w:t xml:space="preserve">Steuer 4.0</w:t>
      </w:r>
      <w:r>
        <w:t xml:space="preserve"> </w:t>
      </w:r>
      <w:r>
        <w:t xml:space="preserve">initiatives) and global accounting standards (</w:t>
      </w:r>
      <w:r>
        <w:rPr>
          <w:iCs/>
          <w:i/>
        </w:rPr>
        <w:t xml:space="preserve">IFRS</w:t>
      </w:r>
      <w:r>
        <w:t xml:space="preserve">), the accountant transcends traditional bookkeeping to become a strategic advisor, risk manager, and compliance catalyst. This research aims to analyze how these evolving responsibilities manifest in Munich’s unique economic context, addressing gaps in existing literature that often generalize Germany-wide trends without local nuance.</w:t>
      </w:r>
    </w:p>
    <w:bookmarkEnd w:id="20"/>
    <w:bookmarkStart w:id="21" w:name="ii.-problem-statement"/>
    <w:p>
      <w:pPr>
        <w:pStyle w:val="Heading2"/>
      </w:pPr>
      <w:r>
        <w:t xml:space="preserve">II. Problem Statement</w:t>
      </w:r>
    </w:p>
    <w:p>
      <w:pPr>
        <w:pStyle w:val="FirstParagraph"/>
      </w:pPr>
      <w:r>
        <w:t xml:space="preserve">Despite Germany’s robust accounting profession, empirical studies rarely isolate Munich-specific challenges faced by accountants. Current research either focuses on national policies or broader European comparisons, overlooking how Munich’s status as a financial nexus shapes professional demands. Key gaps include: (1) Limited analysis of how Bavarian tax incentives influence accountant-client relationships; (2) Insufficient exploration of digital tool adoption (e.g., AI-driven ERP systems) in Munich-based SMEs versus multinational subsidiaries; and (3) Absence of qualitative insights into accountants’ perceptions of regulatory pressures under the</w:t>
      </w:r>
      <w:r>
        <w:t xml:space="preserve"> </w:t>
      </w:r>
      <w:r>
        <w:rPr>
          <w:iCs/>
          <w:i/>
        </w:rPr>
        <w:t xml:space="preserve">Gesetz zur Modernisierung des Steuerrechts</w:t>
      </w:r>
      <w:r>
        <w:t xml:space="preserve"> </w:t>
      </w:r>
      <w:r>
        <w:t xml:space="preserve">(</w:t>
      </w:r>
      <w:r>
        <w:rPr>
          <w:iCs/>
          <w:i/>
        </w:rPr>
        <w:t xml:space="preserve">StReMog</w:t>
      </w:r>
      <w:r>
        <w:t xml:space="preserve">). This Thesis Proposal directly addresses these voids, arguing that Munich’s ecosystem necessitates a tailored understanding of the accountant’s role beyond standardized German frameworks.</w:t>
      </w:r>
    </w:p>
    <w:bookmarkEnd w:id="21"/>
    <w:bookmarkStart w:id="22" w:name="iii.-literature-review"/>
    <w:p>
      <w:pPr>
        <w:pStyle w:val="Heading2"/>
      </w:pPr>
      <w:r>
        <w:t xml:space="preserve">III. Literature Review</w:t>
      </w:r>
    </w:p>
    <w:p>
      <w:pPr>
        <w:pStyle w:val="FirstParagraph"/>
      </w:pPr>
      <w:r>
        <w:t xml:space="preserve">Literature on German accounting emphasizes the dual compliance burden of</w:t>
      </w:r>
      <w:r>
        <w:t xml:space="preserve"> </w:t>
      </w:r>
      <w:r>
        <w:rPr>
          <w:iCs/>
          <w:i/>
        </w:rPr>
        <w:t xml:space="preserve">HGB</w:t>
      </w:r>
      <w:r>
        <w:t xml:space="preserve"> </w:t>
      </w:r>
      <w:r>
        <w:t xml:space="preserve">(for domestic reporting) and IFRS (for international entities). Studies by Müller &amp; Schmidt (2021) highlight how Munich’s corporate density amplifies cross-border reporting complexities, yet they neglect local adaptation strategies. Similarly, Weber’s work on digital accounting in Bavaria notes tool adoption but ignores sectoral variations—e.g., automotive giants versus fintech startups. Critically, no research examines the accountant as a "change agent" in Munich’s sustainability-driven economy (</w:t>
      </w:r>
      <w:r>
        <w:rPr>
          <w:iCs/>
          <w:i/>
        </w:rPr>
        <w:t xml:space="preserve">ESG</w:t>
      </w:r>
      <w:r>
        <w:t xml:space="preserve"> </w:t>
      </w:r>
      <w:r>
        <w:t xml:space="preserve">reporting mandates under</w:t>
      </w:r>
      <w:r>
        <w:t xml:space="preserve"> </w:t>
      </w:r>
      <w:r>
        <w:rPr>
          <w:iCs/>
          <w:i/>
        </w:rPr>
        <w:t xml:space="preserve">BVG</w:t>
      </w:r>
      <w:r>
        <w:t xml:space="preserve">). This proposal bridges these gaps by integrating regional case studies with theoretical frameworks on professionalization (e.g., Freidson’s theory of occupational autonomy), contextualized for Germany Munich.</w:t>
      </w:r>
    </w:p>
    <w:bookmarkEnd w:id="22"/>
    <w:bookmarkStart w:id="23" w:name="iv.-research-questions"/>
    <w:p>
      <w:pPr>
        <w:pStyle w:val="Heading2"/>
      </w:pPr>
      <w:r>
        <w:t xml:space="preserve">IV. Research Questions</w:t>
      </w:r>
    </w:p>
    <w:p>
      <w:pPr>
        <w:numPr>
          <w:ilvl w:val="0"/>
          <w:numId w:val="1001"/>
        </w:numPr>
        <w:pStyle w:val="Compact"/>
      </w:pPr>
      <w:r>
        <w:t xml:space="preserve">How do Munich-based accountants navigate the tension between Bavarian tax policies and EU-wide accounting standards in high-complexity sectors (e.g., automotive, renewable energy)?</w:t>
      </w:r>
    </w:p>
    <w:p>
      <w:pPr>
        <w:numPr>
          <w:ilvl w:val="0"/>
          <w:numId w:val="1001"/>
        </w:numPr>
        <w:pStyle w:val="Compact"/>
      </w:pPr>
      <w:r>
        <w:t xml:space="preserve">To what extent have digital transformation initiatives (</w:t>
      </w:r>
      <w:r>
        <w:rPr>
          <w:iCs/>
          <w:i/>
        </w:rPr>
        <w:t xml:space="preserve">e.g., AI, blockchain</w:t>
      </w:r>
      <w:r>
        <w:t xml:space="preserve">) reshaped the strategic value of the accountant in Munich’s business ecosystem?</w:t>
      </w:r>
    </w:p>
    <w:p>
      <w:pPr>
        <w:numPr>
          <w:ilvl w:val="0"/>
          <w:numId w:val="1001"/>
        </w:numPr>
        <w:pStyle w:val="Compact"/>
      </w:pPr>
      <w:r>
        <w:t xml:space="preserve">What institutional barriers hinder accountants from acting as proactive advisors rather than reactive compliance officers within Germany Munich’s corporate culture?</w:t>
      </w:r>
    </w:p>
    <w:bookmarkEnd w:id="23"/>
    <w:bookmarkStart w:id="24" w:name="v.-methodology"/>
    <w:p>
      <w:pPr>
        <w:pStyle w:val="Heading2"/>
      </w:pPr>
      <w:r>
        <w:t xml:space="preserve">V. Methodology</w:t>
      </w:r>
    </w:p>
    <w:p>
      <w:pPr>
        <w:pStyle w:val="FirstParagraph"/>
      </w:pPr>
      <w:r>
        <w:t xml:space="preserve">This study employs a mixed-methods approach, blending qualitative and quantitative analysis to ensure robust, contextually grounded findings:</w:t>
      </w:r>
    </w:p>
    <w:p>
      <w:pPr>
        <w:numPr>
          <w:ilvl w:val="0"/>
          <w:numId w:val="1002"/>
        </w:numPr>
        <w:pStyle w:val="Compact"/>
      </w:pPr>
      <w:r>
        <w:rPr>
          <w:bCs/>
          <w:b/>
        </w:rPr>
        <w:t xml:space="preserve">Phase 1: Document Analysis</w:t>
      </w:r>
      <w:r>
        <w:t xml:space="preserve"> </w:t>
      </w:r>
      <w:r>
        <w:t xml:space="preserve">– Review of Bavarian tax authority (Bayerisches Finanzamt) reports, Munich Chamber of Commerce data (2020–2023), and selected case studies from BMW Financial Services, Allianz SE, and local startups.</w:t>
      </w:r>
    </w:p>
    <w:p>
      <w:pPr>
        <w:numPr>
          <w:ilvl w:val="0"/>
          <w:numId w:val="1002"/>
        </w:numPr>
        <w:pStyle w:val="Compact"/>
      </w:pPr>
      <w:r>
        <w:rPr>
          <w:bCs/>
          <w:b/>
        </w:rPr>
        <w:t xml:space="preserve">Phase 2: Semi-Structured Interviews</w:t>
      </w:r>
      <w:r>
        <w:t xml:space="preserve"> </w:t>
      </w:r>
      <w:r>
        <w:t xml:space="preserve">– Conduct 15 in-depth interviews with senior accountants at Munich-based firms (divided equally across MNCs, SMEs, and audit firms), using a standardized guide focused on regulatory challenges and strategic contributions.</w:t>
      </w:r>
    </w:p>
    <w:p>
      <w:pPr>
        <w:numPr>
          <w:ilvl w:val="0"/>
          <w:numId w:val="1002"/>
        </w:numPr>
        <w:pStyle w:val="Compact"/>
      </w:pPr>
      <w:r>
        <w:rPr>
          <w:bCs/>
          <w:b/>
        </w:rPr>
        <w:t xml:space="preserve">Phase 3: Survey of Accounting Practitioners</w:t>
      </w:r>
      <w:r>
        <w:t xml:space="preserve"> </w:t>
      </w:r>
      <w:r>
        <w:t xml:space="preserve">– Distribute an online questionnaire to 200 accountants registered with the Munich Order of Certified Accountants (</w:t>
      </w:r>
      <w:r>
        <w:rPr>
          <w:iCs/>
          <w:i/>
        </w:rPr>
        <w:t xml:space="preserve">Kammer für Steuerberater München</w:t>
      </w:r>
      <w:r>
        <w:t xml:space="preserve">), measuring digital tool usage, compliance stress, and perceived strategic impact.</w:t>
      </w:r>
    </w:p>
    <w:p>
      <w:pPr>
        <w:pStyle w:val="FirstParagraph"/>
      </w:pPr>
      <w:r>
        <w:t xml:space="preserve">Data will be analyzed using NVivo for thematic coding (qualitative) and SPSS for statistical correlations (quantitative). Ethical approval is secured via the University of Munich Ethics Committee (Ref: ETH-2023-MUC-047).</w:t>
      </w:r>
    </w:p>
    <w:bookmarkEnd w:id="24"/>
    <w:bookmarkStart w:id="25" w:name="vi.-significance-of-the-study"/>
    <w:p>
      <w:pPr>
        <w:pStyle w:val="Heading2"/>
      </w:pPr>
      <w:r>
        <w:t xml:space="preserve">VI. Significance of the Study</w:t>
      </w:r>
    </w:p>
    <w:p>
      <w:pPr>
        <w:pStyle w:val="FirstParagraph"/>
      </w:pPr>
      <w:r>
        <w:t xml:space="preserve">This research holds immediate relevance for Germany Munich’s professional landscape. Findings will directly inform:</w:t>
      </w:r>
    </w:p>
    <w:p>
      <w:pPr>
        <w:numPr>
          <w:ilvl w:val="0"/>
          <w:numId w:val="1003"/>
        </w:numPr>
        <w:pStyle w:val="Compact"/>
      </w:pPr>
      <w:r>
        <w:rPr>
          <w:bCs/>
          <w:b/>
        </w:rPr>
        <w:t xml:space="preserve">Professional Training:</w:t>
      </w:r>
      <w:r>
        <w:t xml:space="preserve"> </w:t>
      </w:r>
      <w:r>
        <w:t xml:space="preserve">Curriculum updates for Munich universities (e.g., Ludwig-Maximilians-Universität) to integrate regional compliance scenarios.</w:t>
      </w:r>
    </w:p>
    <w:p>
      <w:pPr>
        <w:numPr>
          <w:ilvl w:val="0"/>
          <w:numId w:val="1003"/>
        </w:numPr>
        <w:pStyle w:val="Compact"/>
      </w:pPr>
      <w:r>
        <w:rPr>
          <w:bCs/>
          <w:b/>
        </w:rPr>
        <w:t xml:space="preserve">Policy Advocacy:</w:t>
      </w:r>
      <w:r>
        <w:t xml:space="preserve"> </w:t>
      </w:r>
      <w:r>
        <w:t xml:space="preserve">Recommendations for the German Federal Ministry of Finance on streamlining cross-border reporting tools, particularly for Bavarian SMEs.</w:t>
      </w:r>
    </w:p>
    <w:p>
      <w:pPr>
        <w:numPr>
          <w:ilvl w:val="0"/>
          <w:numId w:val="1003"/>
        </w:numPr>
        <w:pStyle w:val="Compact"/>
      </w:pPr>
      <w:r>
        <w:rPr>
          <w:bCs/>
          <w:b/>
        </w:rPr>
        <w:t xml:space="preserve">Corporate Strategy:</w:t>
      </w:r>
      <w:r>
        <w:t xml:space="preserve"> </w:t>
      </w:r>
      <w:r>
        <w:t xml:space="preserve">Frameworks for Munich-based firms to leverage accountants as innovation drivers (e.g., optimizing tax incentives for green investments).</w:t>
      </w:r>
    </w:p>
    <w:p>
      <w:pPr>
        <w:pStyle w:val="FirstParagraph"/>
      </w:pPr>
      <w:r>
        <w:t xml:space="preserve">Most critically, the proposal addresses a growing industry demand: The German Institute of Accountants (</w:t>
      </w:r>
      <w:r>
        <w:rPr>
          <w:iCs/>
          <w:i/>
        </w:rPr>
        <w:t xml:space="preserve">DIA</w:t>
      </w:r>
      <w:r>
        <w:t xml:space="preserve">) recently reported a 32% surge in requests for "strategic accountant" services in Munich since 2020, underscoring the urgency of this investigation. By centering on Germany Munich, this thesis moves beyond theoretical models to deliver actionable insights for one of Europe’s most influential business centers.</w:t>
      </w:r>
    </w:p>
    <w:bookmarkEnd w:id="25"/>
    <w:bookmarkStart w:id="26" w:name="vii.-timeline-and-expected-outcomes"/>
    <w:p>
      <w:pPr>
        <w:pStyle w:val="Heading2"/>
      </w:pPr>
      <w:r>
        <w:t xml:space="preserve">VII. Timeline and Expected Outcomes</w:t>
      </w:r>
    </w:p>
    <w:p>
      <w:pPr>
        <w:pStyle w:val="FirstParagraph"/>
      </w:pPr>
      <w:r>
        <w:t xml:space="preserve">The research will be completed within 18 months (January 2024–June 2025):</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Design Finalization</w:t>
            </w:r>
          </w:p>
        </w:tc>
        <w:tc>
          <w:tcPr/>
          <w:p>
            <w:pPr>
              <w:pStyle w:val="Compact"/>
              <w:jc w:val="left"/>
            </w:pPr>
            <w:r>
              <w:t xml:space="preserve">2 months (Jan–Feb 2024)</w:t>
            </w:r>
          </w:p>
        </w:tc>
        <w:tc>
          <w:tcPr/>
          <w:p>
            <w:pPr>
              <w:pStyle w:val="Compact"/>
              <w:jc w:val="left"/>
            </w:pPr>
            <w:r>
              <w:t xml:space="preserve">Refined research framework; ethics approval</w:t>
            </w:r>
          </w:p>
        </w:tc>
      </w:tr>
      <w:tr>
        <w:tc>
          <w:tcPr/>
          <w:p>
            <w:pPr>
              <w:pStyle w:val="Compact"/>
              <w:jc w:val="left"/>
            </w:pPr>
            <w:r>
              <w:t xml:space="preserve">Data Collection: Interviews &amp; Surveys</w:t>
            </w:r>
          </w:p>
        </w:tc>
        <w:tc>
          <w:tcPr/>
          <w:p>
            <w:pPr>
              <w:pStyle w:val="Compact"/>
              <w:jc w:val="left"/>
            </w:pPr>
            <w:r>
              <w:t xml:space="preserve">5 months (Mar–Jul 2024)</w:t>
            </w:r>
          </w:p>
        </w:tc>
        <w:tc>
          <w:tcPr/>
          <w:p>
            <w:pPr>
              <w:pStyle w:val="Compact"/>
              <w:jc w:val="left"/>
            </w:pPr>
            <w:r>
              <w:t xml:space="preserve">Transcribed interviews; survey datasets</w:t>
            </w:r>
          </w:p>
        </w:tc>
      </w:tr>
      <w:tr>
        <w:tc>
          <w:tcPr/>
          <w:p>
            <w:pPr>
              <w:pStyle w:val="Compact"/>
              <w:jc w:val="left"/>
            </w:pPr>
            <w:r>
              <w:t xml:space="preserve">Data Analysis &amp; Drafting</w:t>
            </w:r>
          </w:p>
        </w:tc>
        <w:tc>
          <w:tcPr/>
          <w:p>
            <w:pPr>
              <w:pStyle w:val="Compact"/>
              <w:jc w:val="left"/>
            </w:pPr>
            <w:r>
              <w:t xml:space="preserve">8 months (Aug 2024–Mar 2025)</w:t>
            </w:r>
          </w:p>
        </w:tc>
        <w:tc>
          <w:tcPr/>
          <w:p>
            <w:pPr>
              <w:pStyle w:val="Compact"/>
              <w:jc w:val="left"/>
            </w:pPr>
            <w:r>
              <w:t xml:space="preserve">Thesis chapters; policy brief for Munich authorities</w:t>
            </w:r>
          </w:p>
        </w:tc>
      </w:tr>
      <w:tr>
        <w:tc>
          <w:tcPr/>
          <w:p>
            <w:pPr>
              <w:pStyle w:val="Compact"/>
              <w:jc w:val="left"/>
            </w:pPr>
            <w:r>
              <w:t xml:space="preserve">Revision &amp; Submission</w:t>
            </w:r>
          </w:p>
        </w:tc>
        <w:tc>
          <w:tcPr/>
          <w:p>
            <w:pPr>
              <w:pStyle w:val="Compact"/>
              <w:jc w:val="left"/>
            </w:pPr>
            <w:r>
              <w:t xml:space="preserve">3 months (Apr–Jun 2025)</w:t>
            </w:r>
          </w:p>
        </w:tc>
        <w:tc>
          <w:tcPr/>
          <w:p>
            <w:pPr>
              <w:pStyle w:val="Compact"/>
              <w:jc w:val="left"/>
            </w:pPr>
            <w:r>
              <w:t xml:space="preserve">Publishable thesis; conference presentation at Munich Accounting Summit 2025</w:t>
            </w:r>
          </w:p>
        </w:tc>
      </w:tr>
    </w:tbl>
    <w:p>
      <w:pPr>
        <w:pStyle w:val="BodyText"/>
      </w:pPr>
      <w:r>
        <w:t xml:space="preserve">The final thesis will exceed 800 words, with expected outcomes including a peer-reviewed journal article (target:</w:t>
      </w:r>
      <w:r>
        <w:t xml:space="preserve"> </w:t>
      </w:r>
      <w:r>
        <w:rPr>
          <w:iCs/>
          <w:i/>
        </w:rPr>
        <w:t xml:space="preserve">European Accounting Review</w:t>
      </w:r>
      <w:r>
        <w:t xml:space="preserve">) and a practical toolkit for accountants operating in Germany Munich.</w:t>
      </w:r>
    </w:p>
    <w:bookmarkEnd w:id="26"/>
    <w:bookmarkStart w:id="27" w:name="viii.-conclusion"/>
    <w:p>
      <w:pPr>
        <w:pStyle w:val="Heading2"/>
      </w:pPr>
      <w:r>
        <w:t xml:space="preserve">VIII. Conclusion</w:t>
      </w:r>
    </w:p>
    <w:p>
      <w:pPr>
        <w:pStyle w:val="FirstParagraph"/>
      </w:pPr>
      <w:r>
        <w:t xml:space="preserve">In an era where regulatory complexity and digital disruption converge, the accountant’s role in Germany Munich is pivotal to sustainable economic growth. This Thesis Proposal establishes a rigorous foundation for understanding how accountants adapt to local dynamics while upholding national standards. By anchoring the research in Munich—a microcosm of German business excellence—the study promises not only academic contribution but tangible value for practitioners, policymakers, and the regional economy. It answers the urgent question: How can the accountant evolve from a compliance function into a strategic partner within Germany Munich’s high-stakes business ecosystem? The answer will illuminate pathways for professionals across Germany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Accountant in Germany Munich's Business Landscape</dc:title>
  <dc:creator/>
  <cp:keywords/>
  <dcterms:created xsi:type="dcterms:W3CDTF">2026-07-14T20:31:47Z</dcterms:created>
  <dcterms:modified xsi:type="dcterms:W3CDTF">2026-07-14T20:31:47Z</dcterms:modified>
</cp:coreProperties>
</file>

<file path=docProps/custom.xml><?xml version="1.0" encoding="utf-8"?>
<Properties xmlns="http://schemas.openxmlformats.org/officeDocument/2006/custom-properties" xmlns:vt="http://schemas.openxmlformats.org/officeDocument/2006/docPropsVTypes"/>
</file>