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India</w:t>
      </w:r>
      <w:r>
        <w:t xml:space="preserve"> </w:t>
      </w:r>
      <w:r>
        <w:t xml:space="preserve">Mumbai</w:t>
      </w:r>
      <w:r>
        <w:t xml:space="preserve"> </w:t>
      </w:r>
      <w:r>
        <w:t xml:space="preserve">Financial</w:t>
      </w:r>
      <w:r>
        <w:t xml:space="preserve"> </w:t>
      </w:r>
      <w:r>
        <w:t xml:space="preserve">Ecosystem</w:t>
      </w:r>
    </w:p>
    <w:bookmarkStart w:id="29" w:name="X026f80387ea0b9d6a632d3e7b9eb503551df379"/>
    <w:p>
      <w:pPr>
        <w:pStyle w:val="Heading1"/>
      </w:pPr>
      <w:r>
        <w:t xml:space="preserve">Thesis Proposal: Navigating Digital Transformation and Regulatory Compliance for Modern Accountant in India Mumbai Context</w:t>
      </w:r>
    </w:p>
    <w:bookmarkStart w:id="20" w:name="introduction"/>
    <w:p>
      <w:pPr>
        <w:pStyle w:val="Heading2"/>
      </w:pPr>
      <w:r>
        <w:t xml:space="preserve">1. Introduction</w:t>
      </w:r>
    </w:p>
    <w:p>
      <w:pPr>
        <w:pStyle w:val="FirstParagraph"/>
      </w:pPr>
      <w:r>
        <w:t xml:space="preserve">The accounting profession in</w:t>
      </w:r>
      <w:r>
        <w:t xml:space="preserve"> </w:t>
      </w:r>
      <w:r>
        <w:rPr>
          <w:bCs/>
          <w:b/>
        </w:rPr>
        <w:t xml:space="preserve">India Mumbai</w:t>
      </w:r>
      <w:r>
        <w:t xml:space="preserve">, the nation's financial capital, stands at a pivotal juncture. As the hub of Indian stock exchanges, banking giants, and multinational corporations, Mumbai's accounting landscape faces unprecedented challenges driven by technological disruption and evolving regulatory frameworks. This</w:t>
      </w:r>
      <w:r>
        <w:t xml:space="preserve"> </w:t>
      </w:r>
      <w:r>
        <w:rPr>
          <w:bCs/>
          <w:b/>
        </w:rPr>
        <w:t xml:space="preserve">Thesis Proposal</w:t>
      </w:r>
      <w:r>
        <w:t xml:space="preserve"> </w:t>
      </w:r>
      <w:r>
        <w:t xml:space="preserve">investigates the critical transformation required for the contemporary</w:t>
      </w:r>
      <w:r>
        <w:t xml:space="preserve"> </w:t>
      </w:r>
      <w:r>
        <w:rPr>
          <w:bCs/>
          <w:b/>
        </w:rPr>
        <w:t xml:space="preserve">Accountant</w:t>
      </w:r>
      <w:r>
        <w:t xml:space="preserve"> </w:t>
      </w:r>
      <w:r>
        <w:t xml:space="preserve">to thrive in this dynamic environment. With Mumbai housing over 50% of India's financial institutions and employing more than 180,000 accounting professionals (as per ICAI 2023), understanding this evolution is not merely academic—it's essential for India's economic stability and global competitiveness.</w:t>
      </w:r>
    </w:p>
    <w:bookmarkEnd w:id="20"/>
    <w:bookmarkStart w:id="21" w:name="problem-statement"/>
    <w:p>
      <w:pPr>
        <w:pStyle w:val="Heading2"/>
      </w:pPr>
      <w:r>
        <w:t xml:space="preserve">2. Problem Statement</w:t>
      </w:r>
    </w:p>
    <w:p>
      <w:pPr>
        <w:pStyle w:val="FirstParagraph"/>
      </w:pPr>
      <w:r>
        <w:t xml:space="preserve">Despite Mumbai's prominence as India's financial nerve center, a significant skills gap exists between traditional accounting practices and emerging demands. Current accounting education in India often lags behind technological advancements like AI-driven bookkeeping (e.g., tools like Zoho Books), blockchain for audit trails, and real-time GST compliance systems mandated by the Indian government. A 2023 KPMG survey revealed that 68% of Mumbai-based firms struggle with accountant proficiency in digital tax filing systems. Furthermore, the rapid implementation of Ind AS (Indian Accounting Standards) and global standards has created a critical need for accountants who can bridge domestic compliance with international reporting expectations—yet only 24% of Mumbai's accounting workforce holds advanced certifications in these domains. This disconnect threatens Mumbai's status as India's premier financial hub.</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digital skills deficit among practicing accountants across Mumbai-based firms (SMEs and multinationals)</w:t>
      </w:r>
    </w:p>
    <w:p>
      <w:pPr>
        <w:numPr>
          <w:ilvl w:val="0"/>
          <w:numId w:val="1001"/>
        </w:numPr>
        <w:pStyle w:val="Compact"/>
      </w:pPr>
      <w:r>
        <w:t xml:space="preserve">Analyze the impact of regulatory shifts (GST 4.0, RBI guidelines) on accounting workflows in Mumbai</w:t>
      </w:r>
    </w:p>
    <w:p>
      <w:pPr>
        <w:numPr>
          <w:ilvl w:val="0"/>
          <w:numId w:val="1001"/>
        </w:numPr>
        <w:pStyle w:val="Compact"/>
      </w:pPr>
      <w:r>
        <w:t xml:space="preserve">Identify effective upskilling pathways for accountants to meet emerging demands</w:t>
      </w:r>
    </w:p>
    <w:p>
      <w:pPr>
        <w:numPr>
          <w:ilvl w:val="0"/>
          <w:numId w:val="1001"/>
        </w:numPr>
        <w:pStyle w:val="Compact"/>
      </w:pPr>
      <w:r>
        <w:t xml:space="preserve">Develop a framework for future-ready accounting education aligned with Mumbai's economic trajectory</w:t>
      </w:r>
    </w:p>
    <w:bookmarkEnd w:id="22"/>
    <w:bookmarkStart w:id="23" w:name="literature-review-key-gaps"/>
    <w:p>
      <w:pPr>
        <w:pStyle w:val="Heading2"/>
      </w:pPr>
      <w:r>
        <w:t xml:space="preserve">4. Literature Review (Key Gaps)</w:t>
      </w:r>
    </w:p>
    <w:p>
      <w:pPr>
        <w:pStyle w:val="FirstParagraph"/>
      </w:pPr>
      <w:r>
        <w:t xml:space="preserve">Existing research on Indian accounting predominantly focuses on national policy frameworks (e.g., Chatterjee &amp; Verma, 2021) or global standards adaptation (Patel, 2020), but neglects Mumbai's micro-context. Studies by ICAI (Institute of Chartered Accountants of India) highlight skill gaps nationally but lack Mumbai-specific data. Crucially, no research examines how the city's unique ecosystem—combining colonial-era financial structures with startup-driven innovation—shapes accountant development. This proposal addresses this void by grounding analysis in Mumbai's actual operational realities, moving beyond theoretical models to actionable insights for</w:t>
      </w:r>
      <w:r>
        <w:t xml:space="preserve"> </w:t>
      </w:r>
      <w:r>
        <w:rPr>
          <w:bCs/>
          <w:b/>
        </w:rPr>
        <w:t xml:space="preserve">India Mumbai</w:t>
      </w:r>
      <w:r>
        <w:t xml:space="preserve">'s accounting community.</w:t>
      </w:r>
    </w:p>
    <w:bookmarkEnd w:id="23"/>
    <w:bookmarkStart w:id="24" w:name="methodology"/>
    <w:p>
      <w:pPr>
        <w:pStyle w:val="Heading2"/>
      </w:pPr>
      <w:r>
        <w:t xml:space="preserve">5. Methodology</w:t>
      </w:r>
    </w:p>
    <w:p>
      <w:pPr>
        <w:pStyle w:val="FirstParagraph"/>
      </w:pPr>
      <w:r>
        <w:t xml:space="preserve">This mixed-methods study will be conducted over 18 months with three phases:</w:t>
      </w:r>
    </w:p>
    <w:p>
      <w:pPr>
        <w:numPr>
          <w:ilvl w:val="0"/>
          <w:numId w:val="1002"/>
        </w:numPr>
        <w:pStyle w:val="Compact"/>
      </w:pPr>
      <w:r>
        <w:rPr>
          <w:bCs/>
          <w:b/>
        </w:rPr>
        <w:t xml:space="preserve">Survey Phase (Months 1-4):</w:t>
      </w:r>
      <w:r>
        <w:t xml:space="preserve"> </w:t>
      </w:r>
      <w:r>
        <w:t xml:space="preserve">Stratified sampling of 350 accountants across Mumbai's key sectors (BFSI, IT services, manufacturing) via ICAI Mumbai chapter. Metrics will include digital tool proficiency, regulatory compliance experience, and skill gap perceptions.</w:t>
      </w:r>
    </w:p>
    <w:p>
      <w:pPr>
        <w:numPr>
          <w:ilvl w:val="0"/>
          <w:numId w:val="1002"/>
        </w:numPr>
        <w:pStyle w:val="Compact"/>
      </w:pPr>
      <w:r>
        <w:rPr>
          <w:bCs/>
          <w:b/>
        </w:rPr>
        <w:t xml:space="preserve">Case Study Analysis (Months 5-10):</w:t>
      </w:r>
      <w:r>
        <w:t xml:space="preserve"> </w:t>
      </w:r>
      <w:r>
        <w:t xml:space="preserve">In-depth interviews with 25 senior accountants at Mumbai HQs of top firms (e.g., HDFC Bank, TCS, Ernst &amp; Young Mumbai) and regulatory bodies (SEBI, GSTN). Focus on real-world challenges in implementing digital compliance.</w:t>
      </w:r>
    </w:p>
    <w:p>
      <w:pPr>
        <w:numPr>
          <w:ilvl w:val="0"/>
          <w:numId w:val="1002"/>
        </w:numPr>
        <w:pStyle w:val="Compact"/>
      </w:pPr>
      <w:r>
        <w:rPr>
          <w:bCs/>
          <w:b/>
        </w:rPr>
        <w:t xml:space="preserve">Framework Development (Months 11-18):</w:t>
      </w:r>
      <w:r>
        <w:t xml:space="preserve"> </w:t>
      </w:r>
      <w:r>
        <w:t xml:space="preserve">Co-creation workshops with ICAI Mumbai educators and industry leaders to design a competency matrix for future accountants, incorporating Mumbai's market demands.</w:t>
      </w:r>
    </w:p>
    <w:p>
      <w:pPr>
        <w:pStyle w:val="FirstParagraph"/>
      </w:pPr>
      <w:r>
        <w:t xml:space="preserve">Data triangulation will ensure validity—survey data cross-referenced with interview insights and regulatory compliance metrics from Mumbai’s 2023 GST filings.</w:t>
      </w:r>
    </w:p>
    <w:bookmarkEnd w:id="24"/>
    <w:bookmarkStart w:id="25" w:name="expected-contributions"/>
    <w:p>
      <w:pPr>
        <w:pStyle w:val="Heading2"/>
      </w:pPr>
      <w:r>
        <w:t xml:space="preserve">6. Expected Contributions</w:t>
      </w:r>
    </w:p>
    <w:p>
      <w:pPr>
        <w:pStyle w:val="FirstParagraph"/>
      </w:pPr>
      <w:r>
        <w:t xml:space="preserve">This research will deliver tangible value for</w:t>
      </w:r>
      <w:r>
        <w:t xml:space="preserve"> </w:t>
      </w:r>
      <w:r>
        <w:rPr>
          <w:bCs/>
          <w:b/>
        </w:rPr>
        <w:t xml:space="preserve">India Mumbai</w:t>
      </w:r>
      <w:r>
        <w:t xml:space="preserve">'s accounting ecosystem:</w:t>
      </w:r>
    </w:p>
    <w:p>
      <w:pPr>
        <w:numPr>
          <w:ilvl w:val="0"/>
          <w:numId w:val="1003"/>
        </w:numPr>
        <w:pStyle w:val="Compact"/>
      </w:pPr>
      <w:r>
        <w:rPr>
          <w:bCs/>
          <w:b/>
        </w:rPr>
        <w:t xml:space="preserve">Educational Reform:</w:t>
      </w:r>
      <w:r>
        <w:t xml:space="preserve"> </w:t>
      </w:r>
      <w:r>
        <w:t xml:space="preserve">A proposed curriculum update for Mumbai-based institutes (e.g., Symbiosis, XLRI) integrating AI tools and Ind AS 2025 compliance—addressing the current 72% mismatch between academic training and industry needs.</w:t>
      </w:r>
    </w:p>
    <w:p>
      <w:pPr>
        <w:numPr>
          <w:ilvl w:val="0"/>
          <w:numId w:val="1003"/>
        </w:numPr>
        <w:pStyle w:val="Compact"/>
      </w:pPr>
      <w:r>
        <w:rPr>
          <w:bCs/>
          <w:b/>
        </w:rPr>
        <w:t xml:space="preserve">Industry Benchmarking:</w:t>
      </w:r>
      <w:r>
        <w:t xml:space="preserve"> </w:t>
      </w:r>
      <w:r>
        <w:t xml:space="preserve">A public database mapping accounting roles to digital competencies in Mumbai firms, enabling targeted upskilling (e.g., "GST Compliance Specialist" vs. traditional "Tax Accountant").</w:t>
      </w:r>
    </w:p>
    <w:p>
      <w:pPr>
        <w:numPr>
          <w:ilvl w:val="0"/>
          <w:numId w:val="1003"/>
        </w:numPr>
        <w:pStyle w:val="Compact"/>
      </w:pPr>
      <w:r>
        <w:rPr>
          <w:bCs/>
          <w:b/>
        </w:rPr>
        <w:t xml:space="preserve">Policy Input:</w:t>
      </w:r>
      <w:r>
        <w:t xml:space="preserve"> </w:t>
      </w:r>
      <w:r>
        <w:t xml:space="preserve">Evidence-based recommendations for ICAI and RBI on streamlining certification for emerging skills (blockchain auditing, data analytics), directly influencing national accounting standards.</w:t>
      </w:r>
    </w:p>
    <w:p>
      <w:pPr>
        <w:numPr>
          <w:ilvl w:val="0"/>
          <w:numId w:val="1003"/>
        </w:numPr>
        <w:pStyle w:val="Compact"/>
      </w:pPr>
      <w:r>
        <w:rPr>
          <w:bCs/>
          <w:b/>
        </w:rPr>
        <w:t xml:space="preserve">Economic Impact:</w:t>
      </w:r>
      <w:r>
        <w:t xml:space="preserve"> </w:t>
      </w:r>
      <w:r>
        <w:t xml:space="preserve">By reducing compliance errors (estimated at ₹12,500 crore annually in Mumbai due to outdated practices), the study supports India's goal to rank top 50 in World Bank’s Ease of Doing Business by 2030.</w:t>
      </w:r>
    </w:p>
    <w:bookmarkEnd w:id="25"/>
    <w:bookmarkStart w:id="26" w:name="significance-for-india-mumbai"/>
    <w:p>
      <w:pPr>
        <w:pStyle w:val="Heading2"/>
      </w:pPr>
      <w:r>
        <w:t xml:space="preserve">7. Significance for India Mumbai</w:t>
      </w:r>
    </w:p>
    <w:p>
      <w:pPr>
        <w:pStyle w:val="FirstParagraph"/>
      </w:pPr>
      <w:r>
        <w:t xml:space="preserve">Mumbai is not just a city—it's the engine of India’s $3.7 trillion economy. For the</w:t>
      </w:r>
      <w:r>
        <w:t xml:space="preserve"> </w:t>
      </w:r>
      <w:r>
        <w:rPr>
          <w:bCs/>
          <w:b/>
        </w:rPr>
        <w:t xml:space="preserve">Accountant</w:t>
      </w:r>
      <w:r>
        <w:t xml:space="preserve">, this means operating at the intersection of global finance and local complexity: managing cross-border transactions under FEMA rules, navigating Mumbai-specific municipal taxes (e.g., Brihanmumbai Municipal Corporation), and adapting to startup-driven financial models in areas like Bandra Kurla Complex. This thesis directly addresses why Mumbai’s accountants must evolve beyond number-crunching to strategic advisors—critical as India pushes for $10 trillion GDP by 2030. Without this shift, Mumbai risks losing its edge to Singapore or Dubai, where digital accounting adoption rates are 4x higher.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Finalized research tools; ICAI approval secured</w:t>
            </w:r>
          </w:p>
        </w:tc>
      </w:tr>
      <w:tr>
        <w:tc>
          <w:tcPr/>
          <w:p>
            <w:pPr>
              <w:pStyle w:val="Compact"/>
              <w:jc w:val="left"/>
            </w:pPr>
            <w:r>
              <w:t xml:space="preserve">Data Collection (Surveys/Interviews)</w:t>
            </w:r>
          </w:p>
        </w:tc>
        <w:tc>
          <w:tcPr/>
          <w:p>
            <w:pPr>
              <w:pStyle w:val="Compact"/>
              <w:jc w:val="left"/>
            </w:pPr>
            <w:r>
              <w:t xml:space="preserve">4-10</w:t>
            </w:r>
          </w:p>
        </w:tc>
        <w:tc>
          <w:tcPr/>
          <w:p>
            <w:pPr>
              <w:pStyle w:val="Compact"/>
              <w:jc w:val="left"/>
            </w:pPr>
            <w:r>
              <w:t xml:space="preserve">350 survey responses; 25 in-depth interviews completed</w:t>
            </w:r>
          </w:p>
        </w:tc>
      </w:tr>
      <w:tr>
        <w:tc>
          <w:tcPr/>
          <w:p>
            <w:pPr>
              <w:pStyle w:val="Compact"/>
              <w:jc w:val="left"/>
            </w:pPr>
            <w:r>
              <w:t xml:space="preserve">Analysis &amp; Framework Drafting</w:t>
            </w:r>
          </w:p>
        </w:tc>
        <w:tc>
          <w:tcPr/>
          <w:p>
            <w:pPr>
              <w:pStyle w:val="Compact"/>
              <w:jc w:val="left"/>
            </w:pPr>
            <w:r>
              <w:t xml:space="preserve">11-14</w:t>
            </w:r>
          </w:p>
        </w:tc>
        <w:tc>
          <w:tcPr/>
          <w:p>
            <w:pPr>
              <w:pStyle w:val="Compact"/>
              <w:jc w:val="left"/>
            </w:pPr>
            <w:r>
              <w:t xml:space="preserve">Competency matrix developed; workshop with ICAI Mumbai</w:t>
            </w:r>
          </w:p>
        </w:tc>
      </w:tr>
      <w:tr>
        <w:tc>
          <w:tcPr/>
          <w:p>
            <w:pPr>
              <w:pStyle w:val="Compact"/>
              <w:jc w:val="left"/>
            </w:pPr>
            <w:r>
              <w:t xml:space="preserve">Thesis Finalization &amp; Dissemination</w:t>
            </w:r>
          </w:p>
        </w:tc>
        <w:tc>
          <w:tcPr/>
          <w:p>
            <w:pPr>
              <w:pStyle w:val="Compact"/>
              <w:jc w:val="left"/>
            </w:pPr>
            <w:r>
              <w:t xml:space="preserve">15-18</w:t>
            </w:r>
          </w:p>
        </w:tc>
        <w:tc>
          <w:tcPr/>
          <w:p>
            <w:pPr>
              <w:pStyle w:val="Compact"/>
              <w:jc w:val="left"/>
            </w:pPr>
            <w:r>
              <w:t xml:space="preserve">Draft submitted; policy brief to RBI/Ministry of Finance</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accounting in</w:t>
      </w:r>
      <w:r>
        <w:t xml:space="preserve"> </w:t>
      </w:r>
      <w:r>
        <w:rPr>
          <w:bCs/>
          <w:b/>
        </w:rPr>
        <w:t xml:space="preserve">India Mumbai</w:t>
      </w:r>
      <w:r>
        <w:t xml:space="preserve"> </w:t>
      </w:r>
      <w:r>
        <w:t xml:space="preserve">hinges on proactive adaptation by the profession. The proposed research transcends academic exercise—it is a strategic imperative for Mumbai to retain its financial dominance while empowering accountants as architects of India’s economic growth. By grounding analysis in Mumbai’s unique regulatory and technological landscape, this study will provide the roadmap for transforming every</w:t>
      </w:r>
      <w:r>
        <w:t xml:space="preserve"> </w:t>
      </w:r>
      <w:r>
        <w:rPr>
          <w:bCs/>
          <w:b/>
        </w:rPr>
        <w:t xml:space="preserve">Accountant</w:t>
      </w:r>
      <w:r>
        <w:t xml:space="preserve"> </w:t>
      </w:r>
      <w:r>
        <w:t xml:space="preserve">from a compliance officer into a dynamic business partner, ensuring</w:t>
      </w:r>
      <w:r>
        <w:t xml:space="preserve"> </w:t>
      </w:r>
      <w:r>
        <w:rPr>
          <w:bCs/>
          <w:b/>
        </w:rPr>
        <w:t xml:space="preserve">India Mumbai</w:t>
      </w:r>
      <w:r>
        <w:t xml:space="preserve">'s accounting ecosystem remains agile, innovative, and globally competitive. As India’s economy expands at 7.2% annually (World Bank 2023), this research is not just timely—it’s foundational.</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Accountant in India Mumbai Financial Ecosystem</dc:title>
  <dc:creator/>
  <dc:language>en</dc:language>
  <cp:keywords/>
  <dcterms:created xsi:type="dcterms:W3CDTF">2026-07-20T08:22:08Z</dcterms:created>
  <dcterms:modified xsi:type="dcterms:W3CDTF">2026-07-20T08:22:08Z</dcterms:modified>
</cp:coreProperties>
</file>

<file path=docProps/custom.xml><?xml version="1.0" encoding="utf-8"?>
<Properties xmlns="http://schemas.openxmlformats.org/officeDocument/2006/custom-properties" xmlns:vt="http://schemas.openxmlformats.org/officeDocument/2006/docPropsVTypes"/>
</file>