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India</w:t>
      </w:r>
      <w:r>
        <w:t xml:space="preserve"> </w:t>
      </w:r>
      <w:r>
        <w:t xml:space="preserve">New</w:t>
      </w:r>
      <w:r>
        <w:t xml:space="preserve"> </w:t>
      </w:r>
      <w:r>
        <w:t xml:space="preserve">Delhi</w:t>
      </w:r>
    </w:p>
    <w:bookmarkStart w:id="32" w:name="X8fc992d2991ac9decd3adafc1b20c34c8f02b53"/>
    <w:p>
      <w:pPr>
        <w:pStyle w:val="Heading1"/>
      </w:pPr>
      <w:r>
        <w:t xml:space="preserve">Thesis Proposal: The Evolving Role of the Accountant in Contemporary Business Ecosystems – A Focus on India New Delhi</w:t>
      </w:r>
    </w:p>
    <w:bookmarkStart w:id="20" w:name="introduction-and-background"/>
    <w:p>
      <w:pPr>
        <w:pStyle w:val="Heading2"/>
      </w:pPr>
      <w:r>
        <w:t xml:space="preserve">1. Introduction and Background</w:t>
      </w:r>
    </w:p>
    <w:p>
      <w:pPr>
        <w:pStyle w:val="FirstParagraph"/>
      </w:pPr>
      <w:r>
        <w:t xml:space="preserve">The accounting profession in India has undergone profound transformation, driven by globalization, digital disruption, and stringent regulatory frameworks. As the capital city of India, New Delhi serves as a critical hub for financial regulation, corporate headquarters, and professional services. This thesis proposal outlines a comprehensive research study examining the evolving role of the Accountant within this dynamic environment. The significance of this research is underscored by India's rapid economic growth—projected to reach $5 trillion by 2027—and New Delhi's status as the nerve center for financial policy-making through institutions like the Securities and Exchange Board of India (SEBI) and the Institute of Chartered Accountants of India (ICAI). Despite this, a critical gap exists in understanding how accountants in New Delhi navigate emerging challenges such as digital taxation, ESG reporting mandates, and AI-driven audit transformations. This research directly addresses this void to provide actionable insights for professionals operating at the heart of India's financial landscape.</w:t>
      </w:r>
    </w:p>
    <w:bookmarkEnd w:id="20"/>
    <w:bookmarkStart w:id="21" w:name="problem-statement"/>
    <w:p>
      <w:pPr>
        <w:pStyle w:val="Heading2"/>
      </w:pPr>
      <w:r>
        <w:t xml:space="preserve">2. Problem Statement</w:t>
      </w:r>
    </w:p>
    <w:p>
      <w:pPr>
        <w:pStyle w:val="FirstParagraph"/>
      </w:pPr>
      <w:r>
        <w:t xml:space="preserve">While global accounting frameworks are well-documented, their localized implementation in India New Delhi remains underexplored. Accountants in New Delhi face unique pressures: navigating complex GST compliance across 36 states, adapting to the Companies Act 2013 amendments, and managing cross-border transactions amid India's trade expansion. A recent ICAI survey revealed that 74% of accountants in New Delhi report skill gaps in digital tools like blockchain-based audit trails and AI-driven financial analytics. This disconnect between regulatory expectations and professional capabilities threatens India's goal of becoming a $5-trillion economy by 2027. Without targeted research, the profession risks stagnation, compromising financial transparency for multinational corporations headquartered in New Delhi and local MSMEs seeking regulatory compliance.</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skill requirements of the Accountant in India New Delhi against emerging industry standards.</w:t>
      </w:r>
    </w:p>
    <w:p>
      <w:pPr>
        <w:numPr>
          <w:ilvl w:val="0"/>
          <w:numId w:val="1001"/>
        </w:numPr>
        <w:pStyle w:val="Compact"/>
      </w:pPr>
      <w:r>
        <w:t xml:space="preserve">To evaluate how regulatory changes (e.g., GST, IFRS adoption) impact daily accounting practices in New Delhi-based firms.</w:t>
      </w:r>
    </w:p>
    <w:p>
      <w:pPr>
        <w:numPr>
          <w:ilvl w:val="0"/>
          <w:numId w:val="1001"/>
        </w:numPr>
        <w:pStyle w:val="Compact"/>
      </w:pPr>
      <w:r>
        <w:t xml:space="preserve">To investigate technological adaptation strategies among accountants across diverse sectors (finance, manufacturing, IT services) in New Delhi.</w:t>
      </w:r>
    </w:p>
    <w:p>
      <w:pPr>
        <w:numPr>
          <w:ilvl w:val="0"/>
          <w:numId w:val="1001"/>
        </w:numPr>
        <w:pStyle w:val="Compact"/>
      </w:pPr>
      <w:r>
        <w:t xml:space="preserve">To develop a competency framework for the modern Accountant tailored to India's regulatory and economic context.</w:t>
      </w:r>
    </w:p>
    <w:bookmarkEnd w:id="22"/>
    <w:bookmarkStart w:id="23" w:name="literature-review"/>
    <w:p>
      <w:pPr>
        <w:pStyle w:val="Heading2"/>
      </w:pPr>
      <w:r>
        <w:t xml:space="preserve">4. Literature Review</w:t>
      </w:r>
    </w:p>
    <w:p>
      <w:pPr>
        <w:pStyle w:val="FirstParagraph"/>
      </w:pPr>
      <w:r>
        <w:t xml:space="preserve">Existing scholarship predominantly focuses on Western accounting models (e.g., US GAAP adoption studies) or macro-level Indian financial policies without grounding in New Delhi's micro-context. Studies by Sharma (2021) and Gupta &amp; Singh (2023) highlight India's digital tax reforms but overlook sector-specific accountant experiences. Meanwhile, research from the National Institute of Financial Management (NIFM) emphasizes skill gaps but lacks granular data from New Delhi—where 68% of India's top 500 companies maintain operational HQs. This thesis bridges that gap by centering on New Delhi's unique ecosystem, where accountants interact daily with regulators at the Ministry of Corporate Affairs and face distinct client demands compared to tier-II Indian cities.</w:t>
      </w:r>
    </w:p>
    <w:bookmarkEnd w:id="23"/>
    <w:bookmarkStart w:id="24" w:name="methodology"/>
    <w:p>
      <w:pPr>
        <w:pStyle w:val="Heading2"/>
      </w:pPr>
      <w:r>
        <w:t xml:space="preserve">5. Methodology</w:t>
      </w:r>
    </w:p>
    <w:p>
      <w:pPr>
        <w:pStyle w:val="FirstParagraph"/>
      </w:pPr>
      <w:r>
        <w:t xml:space="preserve">This mixed-methods study employs a sequential design:</w:t>
      </w:r>
    </w:p>
    <w:p>
      <w:pPr>
        <w:numPr>
          <w:ilvl w:val="0"/>
          <w:numId w:val="1002"/>
        </w:numPr>
        <w:pStyle w:val="Compact"/>
      </w:pPr>
      <w:r>
        <w:rPr>
          <w:bCs/>
          <w:b/>
        </w:rPr>
        <w:t xml:space="preserve">Phase 1:</w:t>
      </w:r>
      <w:r>
        <w:t xml:space="preserve"> </w:t>
      </w:r>
      <w:r>
        <w:t xml:space="preserve">Quantitative survey targeting 300+ practicing Accountants (CAs, management accountants, corporate finance professionals) across New Delhi's commercial districts (Connaught Place, Gurgaon Cyber City, and Vasant Kunj). Instruments will measure competency levels in digital tools (QuickBooks Cloud, Tally Prime), regulatory knowledge (GST portal navigation), and adaptability to change.</w:t>
      </w:r>
    </w:p>
    <w:p>
      <w:pPr>
        <w:numPr>
          <w:ilvl w:val="0"/>
          <w:numId w:val="1002"/>
        </w:numPr>
        <w:pStyle w:val="Compact"/>
      </w:pPr>
      <w:r>
        <w:rPr>
          <w:bCs/>
          <w:b/>
        </w:rPr>
        <w:t xml:space="preserve">Phase 2:</w:t>
      </w:r>
      <w:r>
        <w:t xml:space="preserve"> </w:t>
      </w:r>
      <w:r>
        <w:t xml:space="preserve">Qualitative interviews with 30 key stakeholders—ICAI leadership, SEBI compliance officers, and CFOs of Delhi-based firms—to contextualize survey data within India's regulatory architecture.</w:t>
      </w:r>
    </w:p>
    <w:p>
      <w:pPr>
        <w:numPr>
          <w:ilvl w:val="0"/>
          <w:numId w:val="1002"/>
        </w:numPr>
        <w:pStyle w:val="Compact"/>
      </w:pPr>
      <w:r>
        <w:rPr>
          <w:bCs/>
          <w:b/>
        </w:rPr>
        <w:t xml:space="preserve">Data Analysis:</w:t>
      </w:r>
      <w:r>
        <w:t xml:space="preserve"> </w:t>
      </w:r>
      <w:r>
        <w:t xml:space="preserve">Thematic analysis of interview transcripts using NVivo and regression modeling to correlate skill gaps with firm performance metrics (e.g., audit failure rates in Delhi MNCs).</w:t>
      </w:r>
    </w:p>
    <w:p>
      <w:pPr>
        <w:pStyle w:val="FirstParagraph"/>
      </w:pPr>
      <w:r>
        <w:t xml:space="preserve">All research adheres to IRB guidelines, with data collection conducted under India's Personal Data Protection Bill (2023) framework.</w:t>
      </w:r>
    </w:p>
    <w:bookmarkEnd w:id="24"/>
    <w:bookmarkStart w:id="28" w:name="expected-contributions"/>
    <w:p>
      <w:pPr>
        <w:pStyle w:val="Heading2"/>
      </w:pPr>
      <w:r>
        <w:t xml:space="preserve">6. Expected Contributions</w:t>
      </w:r>
    </w:p>
    <w:bookmarkStart w:id="25" w:name="academic-significance"/>
    <w:p>
      <w:pPr>
        <w:pStyle w:val="Heading3"/>
      </w:pPr>
      <w:r>
        <w:t xml:space="preserve">Academic Significance:</w:t>
      </w:r>
    </w:p>
    <w:p>
      <w:pPr>
        <w:pStyle w:val="FirstParagraph"/>
      </w:pPr>
      <w:r>
        <w:t xml:space="preserve">This thesis will pioneer a context-specific theory of accounting evolution in emerging economies. By anchoring analysis in New Delhi's regulatory milieu, it challenges the one-size-fits-all approach prevalent in global accounting literature. Findings will be submitted to journals like the</w:t>
      </w:r>
      <w:r>
        <w:t xml:space="preserve"> </w:t>
      </w:r>
      <w:r>
        <w:rPr>
          <w:iCs/>
          <w:i/>
        </w:rPr>
        <w:t xml:space="preserve">Journal of International Accounting Research</w:t>
      </w:r>
      <w:r>
        <w:t xml:space="preserve"> </w:t>
      </w:r>
      <w:r>
        <w:t xml:space="preserve">with India-focused implications.</w:t>
      </w:r>
    </w:p>
    <w:bookmarkEnd w:id="25"/>
    <w:bookmarkStart w:id="26" w:name="professional-impact"/>
    <w:p>
      <w:pPr>
        <w:pStyle w:val="Heading3"/>
      </w:pPr>
      <w:r>
        <w:t xml:space="preserve">Professional Impact:</w:t>
      </w:r>
    </w:p>
    <w:p>
      <w:pPr>
        <w:pStyle w:val="FirstParagraph"/>
      </w:pPr>
      <w:r>
        <w:t xml:space="preserve">For India's Accountant community, this study delivers:</w:t>
      </w:r>
    </w:p>
    <w:p>
      <w:pPr>
        <w:numPr>
          <w:ilvl w:val="0"/>
          <w:numId w:val="1003"/>
        </w:numPr>
        <w:pStyle w:val="Compact"/>
      </w:pPr>
      <w:r>
        <w:t xml:space="preserve">A validated competency matrix for upskilling programs by ICAI and NIFM.</w:t>
      </w:r>
    </w:p>
    <w:p>
      <w:pPr>
        <w:numPr>
          <w:ilvl w:val="0"/>
          <w:numId w:val="1003"/>
        </w:numPr>
        <w:pStyle w:val="Compact"/>
      </w:pPr>
      <w:r>
        <w:t xml:space="preserve">Sector-specific digital adoption roadmaps (e.g., for Delhi's fintech startups vs. manufacturing firms).</w:t>
      </w:r>
    </w:p>
    <w:p>
      <w:pPr>
        <w:numPr>
          <w:ilvl w:val="0"/>
          <w:numId w:val="1003"/>
        </w:numPr>
        <w:pStyle w:val="Compact"/>
      </w:pPr>
      <w:r>
        <w:t xml:space="preserve">Policy briefs for the Ministry of Corporate Affairs to streamline GST reporting tools.</w:t>
      </w:r>
    </w:p>
    <w:bookmarkEnd w:id="26"/>
    <w:bookmarkStart w:id="27" w:name="economic-relevance"/>
    <w:p>
      <w:pPr>
        <w:pStyle w:val="Heading3"/>
      </w:pPr>
      <w:r>
        <w:t xml:space="preserve">Economic Relevance:</w:t>
      </w:r>
    </w:p>
    <w:p>
      <w:pPr>
        <w:pStyle w:val="FirstParagraph"/>
      </w:pPr>
      <w:r>
        <w:t xml:space="preserve">By addressing skill deficits, the research directly supports India's "Digital India" initiative and New Delhi's vision as a global financial services hub. For every 10% improvement in accountant digital literacy (as measured by this study), firms in Delhi could reduce compliance costs by 15–20%, according to McKinsey estimates—accelerating SME growth across the national economy.</w:t>
      </w:r>
    </w:p>
    <w:bookmarkEnd w:id="27"/>
    <w:bookmarkEnd w:id="28"/>
    <w:bookmarkStart w:id="29"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Literature Review &amp; Instrument Design</w:t>
      </w:r>
    </w:p>
    <w:p>
      <w:pPr>
        <w:pStyle w:val="BodyText"/>
      </w:pPr>
      <w:r>
        <w:t xml:space="preserve">✓</w:t>
      </w:r>
    </w:p>
    <w:p>
      <w:pPr>
        <w:pStyle w:val="BodyText"/>
      </w:pPr>
      <w:r>
        <w:t xml:space="preserve">Data Collection (Survey &amp; Interviews)</w:t>
      </w:r>
    </w:p>
    <w:p>
      <w:pPr>
        <w:pStyle w:val="BodyText"/>
      </w:pPr>
      <w:r>
        <w:t xml:space="preserve">✓</w:t>
      </w:r>
    </w:p>
    <w:p>
      <w:pPr>
        <w:pStyle w:val="BodyText"/>
      </w:pPr>
      <w:r>
        <w:t xml:space="preserve">Analysis &amp; Drafting Findings</w:t>
      </w:r>
    </w:p>
    <w:p>
      <w:pPr>
        <w:pStyle w:val="BodyText"/>
      </w:pPr>
      <w:r>
        <w:t xml:space="preserve">&lt; td&gt;&lt; t d &gt;&lt; t d &gt; ✓</w:t>
      </w:r>
    </w:p>
    <w:bookmarkEnd w:id="29"/>
    <w:bookmarkStart w:id="30" w:name="conclusion"/>
    <w:p>
      <w:pPr>
        <w:pStyle w:val="Heading2"/>
      </w:pPr>
      <w:r>
        <w:t xml:space="preserve">8. Conclusion</w:t>
      </w:r>
    </w:p>
    <w:p>
      <w:pPr>
        <w:pStyle w:val="FirstParagraph"/>
      </w:pPr>
      <w:r>
        <w:t xml:space="preserve">This Thesis Proposal establishes the urgency of studying the Accountant's evolving role within India New Delhi—a nexus where regulatory innovation, economic ambition, and professional practice converge. As India positions itself as a $5-trillion economy by 2027, the efficiency of its accounting profession is not merely an operational concern but a national strategic imperative. This research will deliver evidence-based solutions to empower accountants in New Delhi to become catalysts for financial integrity and economic growth, directly contributing to India's global competitiveness. The outcomes will resonate beyond academia: shaping ICAI's curriculum reforms, informing SEBI's digital compliance policies, and enabling New Delhi-based firms to leverage accounting as a competitive advantage. In a nation where 68% of top corporate headquarters operate from the capital city, understanding the modern Accountant in India New Delhi is not just relevant—it is foundational.</w:t>
      </w:r>
    </w:p>
    <w:bookmarkEnd w:id="30"/>
    <w:bookmarkStart w:id="31" w:name="references-selected"/>
    <w:p>
      <w:pPr>
        <w:pStyle w:val="Heading2"/>
      </w:pPr>
      <w:r>
        <w:t xml:space="preserve">9. References (Selected)</w:t>
      </w:r>
    </w:p>
    <w:p>
      <w:pPr>
        <w:numPr>
          <w:ilvl w:val="0"/>
          <w:numId w:val="1004"/>
        </w:numPr>
        <w:pStyle w:val="Compact"/>
      </w:pPr>
      <w:r>
        <w:t xml:space="preserve">Gupta, A., &amp; Singh, P. (2023). *Digital Transformation in Indian Accounting*. ICAI Press.</w:t>
      </w:r>
    </w:p>
    <w:p>
      <w:pPr>
        <w:numPr>
          <w:ilvl w:val="0"/>
          <w:numId w:val="1004"/>
        </w:numPr>
        <w:pStyle w:val="Compact"/>
      </w:pPr>
      <w:r>
        <w:t xml:space="preserve">Sharma, R. (2021). "GST Compliance Challenges for Accountants in Urban India."</w:t>
      </w:r>
      <w:r>
        <w:t xml:space="preserve"> </w:t>
      </w:r>
      <w:r>
        <w:rPr>
          <w:iCs/>
          <w:i/>
        </w:rPr>
        <w:t xml:space="preserve">Journal of Accounting in Emerging Economies</w:t>
      </w:r>
      <w:r>
        <w:t xml:space="preserve">, 11(4), 567–589.</w:t>
      </w:r>
    </w:p>
    <w:p>
      <w:pPr>
        <w:numPr>
          <w:ilvl w:val="0"/>
          <w:numId w:val="1004"/>
        </w:numPr>
        <w:pStyle w:val="Compact"/>
      </w:pPr>
      <w:r>
        <w:t xml:space="preserve">Ministry of Corporate Affairs. (2023). *Annual Report on Companies Act Implementation*. Government of India.</w:t>
      </w:r>
    </w:p>
    <w:p>
      <w:pPr>
        <w:numPr>
          <w:ilvl w:val="0"/>
          <w:numId w:val="1004"/>
        </w:numPr>
        <w:pStyle w:val="Compact"/>
      </w:pPr>
      <w:r>
        <w:t xml:space="preserve">Mckinsey &amp; Company. (2022). *The Economic Impact of Digital Tax Compliance in India*.</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India New Delhi</dc:title>
  <dc:creator/>
  <dc:language>en</dc:language>
  <cp:keywords/>
  <dcterms:created xsi:type="dcterms:W3CDTF">2026-07-21T16:56:28Z</dcterms:created>
  <dcterms:modified xsi:type="dcterms:W3CDTF">2026-07-21T16:56:28Z</dcterms:modified>
</cp:coreProperties>
</file>

<file path=docProps/custom.xml><?xml version="1.0" encoding="utf-8"?>
<Properties xmlns="http://schemas.openxmlformats.org/officeDocument/2006/custom-properties" xmlns:vt="http://schemas.openxmlformats.org/officeDocument/2006/docPropsVTypes"/>
</file>