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Kazakhstan</w:t>
      </w:r>
      <w:r>
        <w:t xml:space="preserve"> </w:t>
      </w:r>
      <w:r>
        <w:t xml:space="preserve">Almaty</w:t>
      </w:r>
    </w:p>
    <w:bookmarkStart w:id="29" w:name="Xebda8444e491ff2b9cb18ce0d57c369ee82ec23"/>
    <w:p>
      <w:pPr>
        <w:pStyle w:val="Heading1"/>
      </w:pPr>
      <w:r>
        <w:t xml:space="preserve">Thesis Proposal: The Evolving Role of the Accountant in Kazakhstan Almaty's Contemporary Business Landscape</w:t>
      </w:r>
    </w:p>
    <w:bookmarkStart w:id="20" w:name="introduction"/>
    <w:p>
      <w:pPr>
        <w:pStyle w:val="Heading2"/>
      </w:pPr>
      <w:r>
        <w:t xml:space="preserve">1. Introduction</w:t>
      </w:r>
    </w:p>
    <w:p>
      <w:pPr>
        <w:pStyle w:val="FirstParagraph"/>
      </w:pPr>
      <w:r>
        <w:t xml:space="preserve">The profession of the accountant stands at a pivotal crossroads in Kazakhstan, particularly within the dynamic economic hub of Almaty. As one of Central Asia's most vibrant commercial centers, Almaty hosts over 50% of Kazakhstan's Fortune 500 companies and serves as the nation's primary financial nerve center. This thesis proposes an in-depth examination of how accountants in Kazakhstan Almaty navigate complex regulatory transformations, technological disruptions, and evolving market demands. With Kazakhstan's economy transitioning toward digitalization under its "Digital Kazakhstan" program (2022-2030), the traditional accounting function is rapidly expanding into strategic advisory roles. This research addresses a critical gap in understanding how local accountants adapt to these changes while maintaining compliance within Kazakhstan's unique legal framework, which blends Soviet-era financial traditions with modern international standards.</w:t>
      </w:r>
    </w:p>
    <w:bookmarkEnd w:id="20"/>
    <w:bookmarkStart w:id="21" w:name="problem-statement"/>
    <w:p>
      <w:pPr>
        <w:pStyle w:val="Heading2"/>
      </w:pPr>
      <w:r>
        <w:t xml:space="preserve">2. Problem Statement</w:t>
      </w:r>
    </w:p>
    <w:p>
      <w:pPr>
        <w:pStyle w:val="FirstParagraph"/>
      </w:pPr>
      <w:r>
        <w:t xml:space="preserve">Despite Kazakhstan's ambitious economic reforms and Almaty's status as the country's commercial capital, there remains limited empirical research on how accountants in this specific context balance regulatory compliance with strategic business support. Current studies often generalize across entire Central Asia or focus exclusively on multinational corporations, neglecting the nuanced experiences of local firms in Almaty. This creates a critical knowledge void: How do accountants in Almaty's SME sector—constituting 95% of businesses—manage emerging challenges like digital tax filing systems (e.g., "E-Kazakhstan" platform), evolving International Financial Reporting Standards (IFRS) adoption, and the integration of AI-driven accounting tools? Without addressing these realities, Kazakhstan risks underutilizing its accounting talent to drive sustainable economic growth. The thesis directly confronts this gap by centering Almaty's unique business ecosystem.</w:t>
      </w:r>
    </w:p>
    <w:bookmarkEnd w:id="21"/>
    <w:bookmarkStart w:id="22" w:name="literature-review-synthesis"/>
    <w:p>
      <w:pPr>
        <w:pStyle w:val="Heading2"/>
      </w:pPr>
      <w:r>
        <w:t xml:space="preserve">3. Literature Review Synthesis</w:t>
      </w:r>
    </w:p>
    <w:p>
      <w:pPr>
        <w:pStyle w:val="FirstParagraph"/>
      </w:pPr>
      <w:r>
        <w:t xml:space="preserve">Existing literature highlights global shifts toward strategic accountancy (COSO, 2021) and Central Asian economic transformations (Kazakhstani Journal of Economics, 2023). However, no studies have systematically analyzed the Almaty context. Prior research by Tolegenova (2021) identifies regulatory confusion in Kazakh accounting but lacks field data from Almaty firms. Meanwhile, World Bank reports emphasize digital readiness gaps (2023), yet overlook how accountants mediate these transitions locally. This thesis builds on this foundation by: (a) mapping Kazakhstan's 2019 Accounting Law amendments and their impact on Almaty-based practitioners, (b) assessing the adoption rates of automated tools like "Kazakhstani Accounting Software" (KAS) in Almaty SMEs, and (c) evaluating accountants' perceived value in strategic decision-making—exclusively within Almaty's market realities.</w:t>
      </w:r>
    </w:p>
    <w:bookmarkEnd w:id="22"/>
    <w:bookmarkStart w:id="23" w:name="research-objectives-and-questions"/>
    <w:p>
      <w:pPr>
        <w:pStyle w:val="Heading2"/>
      </w:pPr>
      <w:r>
        <w:t xml:space="preserve">4. Research Objectives and Questions</w:t>
      </w:r>
    </w:p>
    <w:p>
      <w:pPr>
        <w:pStyle w:val="FirstParagraph"/>
      </w:pPr>
      <w:r>
        <w:t xml:space="preserve">This thesis aims to: (1) Document the evolving professional responsibilities of accountants in Kazakhstan Almaty beyond bookkeeping; (2) Analyze barriers to adopting digital accounting solutions in Almaty's business environment; and (3) Propose a tailored competency framework for future accountants. Core research questions include:</w:t>
      </w:r>
    </w:p>
    <w:p>
      <w:pPr>
        <w:numPr>
          <w:ilvl w:val="0"/>
          <w:numId w:val="1001"/>
        </w:numPr>
        <w:pStyle w:val="Compact"/>
      </w:pPr>
      <w:r>
        <w:t xml:space="preserve">How do Almaty-based accountants interpret recent regulatory changes under Kazakhstan's Tax Code, Section 301?</w:t>
      </w:r>
    </w:p>
    <w:p>
      <w:pPr>
        <w:numPr>
          <w:ilvl w:val="0"/>
          <w:numId w:val="1001"/>
        </w:numPr>
        <w:pStyle w:val="Compact"/>
      </w:pPr>
      <w:r>
        <w:t xml:space="preserve">To what extent does technology adoption (e.g., cloud accounting, AI analytics) correlate with strategic advisory capabilities among Almaty accountants?</w:t>
      </w:r>
    </w:p>
    <w:p>
      <w:pPr>
        <w:numPr>
          <w:ilvl w:val="0"/>
          <w:numId w:val="1001"/>
        </w:numPr>
        <w:pStyle w:val="Compact"/>
      </w:pPr>
      <w:r>
        <w:t xml:space="preserve">What specific skills do Almaty business leaders value most in their accountants versus academic curricula provide?</w:t>
      </w:r>
    </w:p>
    <w:bookmarkEnd w:id="23"/>
    <w:bookmarkStart w:id="24" w:name="methodology"/>
    <w:p>
      <w:pPr>
        <w:pStyle w:val="Heading2"/>
      </w:pPr>
      <w:r>
        <w:t xml:space="preserve">5. Methodology</w:t>
      </w:r>
    </w:p>
    <w:p>
      <w:pPr>
        <w:pStyle w:val="FirstParagraph"/>
      </w:pPr>
      <w:r>
        <w:t xml:space="preserve">A mixed-methods approach will be employed, triangulating quantitative and qualitative data to ensure robustness within the Kazakhstan Almaty context:</w:t>
      </w:r>
    </w:p>
    <w:p>
      <w:pPr>
        <w:numPr>
          <w:ilvl w:val="0"/>
          <w:numId w:val="1002"/>
        </w:numPr>
        <w:pStyle w:val="Compact"/>
      </w:pPr>
      <w:r>
        <w:rPr>
          <w:bCs/>
          <w:b/>
        </w:rPr>
        <w:t xml:space="preserve">Phase 1 (Quantitative):</w:t>
      </w:r>
      <w:r>
        <w:t xml:space="preserve"> </w:t>
      </w:r>
      <w:r>
        <w:t xml:space="preserve">Survey of 300 accountants across Almaty's business zones (e.g., Abay Avenue, Central Business District) using a structured questionnaire targeting experience with digital tools, regulatory training, and perceived strategic impact. Stratified sampling will ensure representation from SMEs (75%), state-owned enterprises (15%), and multinationals (10%).</w:t>
      </w:r>
    </w:p>
    <w:p>
      <w:pPr>
        <w:numPr>
          <w:ilvl w:val="0"/>
          <w:numId w:val="1002"/>
        </w:numPr>
        <w:pStyle w:val="Compact"/>
      </w:pPr>
      <w:r>
        <w:rPr>
          <w:bCs/>
          <w:b/>
        </w:rPr>
        <w:t xml:space="preserve">Phase 2 (Qualitative):</w:t>
      </w:r>
      <w:r>
        <w:t xml:space="preserve"> </w:t>
      </w:r>
      <w:r>
        <w:t xml:space="preserve">In-depth interviews with 20 key stakeholders—including accounting managers at Almaty-based firms like "KazMunayGas" subsidiaries, representatives from the Association of Accountants of Kazakhstan (AAK), and educators from Almaty's International School of Management.</w:t>
      </w:r>
    </w:p>
    <w:p>
      <w:pPr>
        <w:numPr>
          <w:ilvl w:val="0"/>
          <w:numId w:val="1002"/>
        </w:numPr>
        <w:pStyle w:val="Compact"/>
      </w:pPr>
      <w:r>
        <w:rPr>
          <w:bCs/>
          <w:b/>
        </w:rPr>
        <w:t xml:space="preserve">Data Analysis:</w:t>
      </w:r>
      <w:r>
        <w:t xml:space="preserve"> </w:t>
      </w:r>
      <w:r>
        <w:t xml:space="preserve">NVivo software for thematic analysis of interviews; SPSS for regression modeling linking technology use to strategic roles. All data will be contextualized against Kazakhstan's National Strategy for Financial Market Development (2023).</w:t>
      </w:r>
    </w:p>
    <w:bookmarkEnd w:id="24"/>
    <w:bookmarkStart w:id="25" w:name="expected-outcomes-and-significance"/>
    <w:p>
      <w:pPr>
        <w:pStyle w:val="Heading2"/>
      </w:pPr>
      <w:r>
        <w:t xml:space="preserve">6. Expected Outcomes and Significance</w:t>
      </w:r>
    </w:p>
    <w:p>
      <w:pPr>
        <w:pStyle w:val="FirstParagraph"/>
      </w:pPr>
      <w:r>
        <w:t xml:space="preserve">This research promises three significant contributions to Kazakhstan Almaty:</w:t>
      </w:r>
    </w:p>
    <w:p>
      <w:pPr>
        <w:numPr>
          <w:ilvl w:val="0"/>
          <w:numId w:val="1003"/>
        </w:numPr>
        <w:pStyle w:val="Compact"/>
      </w:pPr>
      <w:r>
        <w:rPr>
          <w:bCs/>
          <w:b/>
        </w:rPr>
        <w:t xml:space="preserve">Practical Impact:</w:t>
      </w:r>
      <w:r>
        <w:t xml:space="preserve"> </w:t>
      </w:r>
      <w:r>
        <w:t xml:space="preserve">A competency framework for Almaty accountants, directly addressing gaps identified in the 2023 AAK skills assessment. This will guide local universities (e.g., Kazakh University of Economics and Law) in curriculum reform.</w:t>
      </w:r>
    </w:p>
    <w:p>
      <w:pPr>
        <w:numPr>
          <w:ilvl w:val="0"/>
          <w:numId w:val="1003"/>
        </w:numPr>
        <w:pStyle w:val="Compact"/>
      </w:pPr>
      <w:r>
        <w:rPr>
          <w:bCs/>
          <w:b/>
        </w:rPr>
        <w:t xml:space="preserve">Policy Relevance:</w:t>
      </w:r>
      <w:r>
        <w:t xml:space="preserve"> </w:t>
      </w:r>
      <w:r>
        <w:t xml:space="preserve">Evidence-based recommendations for Kazakhstan's Ministry of Finance on streamlining digital compliance for Almaty businesses, potentially reducing tax filing time by 30% as projected in pilot programs.</w:t>
      </w:r>
    </w:p>
    <w:p>
      <w:pPr>
        <w:numPr>
          <w:ilvl w:val="0"/>
          <w:numId w:val="1003"/>
        </w:numPr>
        <w:pStyle w:val="Compact"/>
      </w:pPr>
      <w:r>
        <w:rPr>
          <w:bCs/>
          <w:b/>
        </w:rPr>
        <w:t xml:space="preserve">Theoretical Contribution:</w:t>
      </w:r>
      <w:r>
        <w:t xml:space="preserve"> </w:t>
      </w:r>
      <w:r>
        <w:t xml:space="preserve">A contextual model explaining how accountants in emerging economies like Kazakhstan Almaty mediate between global standards (IFRS) and local pragmatics—filling a void in cross-cultural accounting literature.</w:t>
      </w:r>
    </w:p>
    <w:p>
      <w:pPr>
        <w:pStyle w:val="FirstParagraph"/>
      </w:pPr>
      <w:r>
        <w:t xml:space="preserve">Crucially, the thesis will position the accountant not merely as a compliance officer but as a strategic catalyst for Almaty's growth, directly supporting Kazakhstan's 2030 Vision of becoming an innovation-driven economy.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Finalized survey/questionnaire validated by AAK experts</w:t>
            </w:r>
          </w:p>
        </w:tc>
      </w:tr>
      <w:tr>
        <w:tc>
          <w:tcPr/>
          <w:p>
            <w:pPr>
              <w:pStyle w:val="Compact"/>
              <w:jc w:val="left"/>
            </w:pPr>
            <w:r>
              <w:t xml:space="preserve">Data Collection (Almaty Fieldwork)</w:t>
            </w:r>
          </w:p>
        </w:tc>
        <w:tc>
          <w:tcPr/>
          <w:p>
            <w:pPr>
              <w:pStyle w:val="Compact"/>
              <w:jc w:val="left"/>
            </w:pPr>
            <w:r>
              <w:t xml:space="preserve">Months 3-4</w:t>
            </w:r>
          </w:p>
        </w:tc>
        <w:tc>
          <w:tcPr/>
          <w:p>
            <w:pPr>
              <w:pStyle w:val="Compact"/>
              <w:jc w:val="left"/>
            </w:pPr>
            <w:r>
              <w:t xml:space="preserve">300 surveys completed; 20 interviews conducted across Almaty business districts</w:t>
            </w:r>
          </w:p>
        </w:tc>
      </w:tr>
      <w:tr>
        <w:tc>
          <w:tcPr/>
          <w:p>
            <w:pPr>
              <w:pStyle w:val="Compact"/>
              <w:jc w:val="left"/>
            </w:pPr>
            <w:r>
              <w:t xml:space="preserve">Data Analysis &amp; Framework Development</w:t>
            </w:r>
          </w:p>
        </w:tc>
        <w:tc>
          <w:tcPr/>
          <w:p>
            <w:pPr>
              <w:pStyle w:val="Compact"/>
              <w:jc w:val="left"/>
            </w:pPr>
            <w:r>
              <w:t xml:space="preserve">Months 5-6</w:t>
            </w:r>
          </w:p>
        </w:tc>
        <w:tc>
          <w:tcPr/>
          <w:p>
            <w:pPr>
              <w:pStyle w:val="Compact"/>
              <w:jc w:val="left"/>
            </w:pPr>
            <w:r>
              <w:t xml:space="preserve">Thematic reports; competency model drafted for AAK review</w:t>
            </w:r>
          </w:p>
        </w:tc>
      </w:tr>
      <w:tr>
        <w:tc>
          <w:tcPr/>
          <w:p>
            <w:pPr>
              <w:pStyle w:val="Compact"/>
              <w:jc w:val="left"/>
            </w:pPr>
            <w:r>
              <w:t xml:space="preserve">Thesis Writing &amp; Stakeholder Feedback</w:t>
            </w:r>
          </w:p>
        </w:tc>
        <w:tc>
          <w:tcPr/>
          <w:p>
            <w:pPr>
              <w:pStyle w:val="Compact"/>
              <w:jc w:val="left"/>
            </w:pPr>
            <w:r>
              <w:t xml:space="preserve">Months 7-8</w:t>
            </w:r>
          </w:p>
        </w:tc>
        <w:tc>
          <w:tcPr/>
          <w:p>
            <w:pPr>
              <w:pStyle w:val="Compact"/>
              <w:jc w:val="left"/>
            </w:pPr>
            <w:r>
              <w:t xml:space="preserve">Presentation to Almaty Chamber of Commerce; final manuscript submission</w:t>
            </w:r>
          </w:p>
        </w:tc>
      </w:tr>
    </w:tbl>
    <w:bookmarkEnd w:id="26"/>
    <w:bookmarkStart w:id="27" w:name="conclusion"/>
    <w:p>
      <w:pPr>
        <w:pStyle w:val="Heading2"/>
      </w:pPr>
      <w:r>
        <w:t xml:space="preserve">8. Conclusion</w:t>
      </w:r>
    </w:p>
    <w:p>
      <w:pPr>
        <w:pStyle w:val="FirstParagraph"/>
      </w:pPr>
      <w:r>
        <w:t xml:space="preserve">The accountant in Kazakhstan Almaty is no longer confined to ledger pages and tax forms. As the nation accelerates its digital transformation, accountants are becoming indispensable strategic partners in navigating regulatory complexity and driving economic value. This thesis proposal establishes a timely, context-specific investigation into this evolution—one that centers Almaty's unique position as Kazakhstan's business epicenter. By grounding findings in the lived experiences of local practitioners and aligning with national development goals, this research will equip policymakers, educators, and professionals to unlock the full potential of Kazakhstan's accounting workforce. Ultimately, it seeks to redefine the accountant's role from a compliance taskmaster to a growth architect—essential for Almaty's ambition as Central Asia's leading financial center.</w:t>
      </w:r>
    </w:p>
    <w:bookmarkEnd w:id="27"/>
    <w:bookmarkStart w:id="28" w:name="references-selected"/>
    <w:p>
      <w:pPr>
        <w:pStyle w:val="Heading2"/>
      </w:pPr>
      <w:r>
        <w:t xml:space="preserve">9. References (Selected)</w:t>
      </w:r>
    </w:p>
    <w:p>
      <w:pPr>
        <w:numPr>
          <w:ilvl w:val="0"/>
          <w:numId w:val="1004"/>
        </w:numPr>
        <w:pStyle w:val="Compact"/>
      </w:pPr>
      <w:r>
        <w:t xml:space="preserve">Kazakhstan Ministry of Finance. (2019). *Accounting Law of the Republic of Kazakhstan*. Nur-Sultan.</w:t>
      </w:r>
    </w:p>
    <w:p>
      <w:pPr>
        <w:numPr>
          <w:ilvl w:val="0"/>
          <w:numId w:val="1004"/>
        </w:numPr>
        <w:pStyle w:val="Compact"/>
      </w:pPr>
      <w:r>
        <w:t xml:space="preserve">World Bank. (2023). *Digital Economy in Kazakhstan: Progress and Challenges*. Almaty Office.</w:t>
      </w:r>
    </w:p>
    <w:p>
      <w:pPr>
        <w:numPr>
          <w:ilvl w:val="0"/>
          <w:numId w:val="1004"/>
        </w:numPr>
        <w:pStyle w:val="Compact"/>
      </w:pPr>
      <w:r>
        <w:t xml:space="preserve">Tolegenova, A. (2021). "Regulatory Fragmentation in Kazakh Accounting Practices." *Central Asian Journal of Business*, 8(4), 112–130.</w:t>
      </w:r>
    </w:p>
    <w:p>
      <w:pPr>
        <w:numPr>
          <w:ilvl w:val="0"/>
          <w:numId w:val="1004"/>
        </w:numPr>
        <w:pStyle w:val="Compact"/>
      </w:pPr>
      <w:r>
        <w:t xml:space="preserve">COSO. (2021). *Strategic Accountancy for the Digital Age*. New York: Committee of Sponsoring Organizations.</w:t>
      </w:r>
    </w:p>
    <w:p>
      <w:pPr>
        <w:numPr>
          <w:ilvl w:val="0"/>
          <w:numId w:val="1004"/>
        </w:numPr>
        <w:pStyle w:val="Compact"/>
      </w:pPr>
      <w:r>
        <w:t xml:space="preserve">Association of Accountants of Kazakhstan (AAK). (2023). *Skills Gap Assessment Report*.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Kazakhstan Almaty</dc:title>
  <dc:creator/>
  <dc:language>en</dc:language>
  <cp:keywords/>
  <dcterms:created xsi:type="dcterms:W3CDTF">2026-07-23T05:28:42Z</dcterms:created>
  <dcterms:modified xsi:type="dcterms:W3CDTF">2026-07-23T05:28:42Z</dcterms:modified>
</cp:coreProperties>
</file>

<file path=docProps/custom.xml><?xml version="1.0" encoding="utf-8"?>
<Properties xmlns="http://schemas.openxmlformats.org/officeDocument/2006/custom-properties" xmlns:vt="http://schemas.openxmlformats.org/officeDocument/2006/docPropsVTypes"/>
</file>