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Landscape</w:t>
      </w:r>
    </w:p>
    <w:bookmarkStart w:id="20" w:name="X913234d96d38fa7ad58fa9d2dd658f01973c77c"/>
    <w:p>
      <w:pPr>
        <w:pStyle w:val="Heading1"/>
      </w:pPr>
      <w:r>
        <w:t xml:space="preserve">Thesis Proposal: The Evolving Role of an Accountant in Kuwait City's Financial Sector Amidst Economic Diversification</w:t>
      </w:r>
    </w:p>
    <w:p>
      <w:pPr>
        <w:pStyle w:val="FirstParagraph"/>
      </w:pPr>
      <w:r>
        <w:rPr>
          <w:bCs/>
          <w:b/>
        </w:rPr>
        <w:t xml:space="preserve">Introduction</w:t>
      </w:r>
    </w:p>
    <w:p>
      <w:pPr>
        <w:pStyle w:val="BodyText"/>
      </w:pPr>
      <w:r>
        <w:t xml:space="preserve">The Kingdom of Kuwait, particularly its capital city Kuwait City, stands at a pivotal juncture in its economic trajectory. As the nation actively pursues Vision 2035 to reduce oil dependency and foster a knowledge-based economy, the role of the modern Accountant has transcended traditional bookkeeping duties. This Thesis Proposal outlines a comprehensive research study examining how emerging financial regulations, technological disruptions, and strategic economic diversification are redefining professional expectations for an Accountant in Kuwait City. With Kuwait City serving as the undisputed financial nerve center of the Gulf Cooperation Council (GCC), this investigation is not merely academic—it is critically urgent for both local accounting practitioners and multinational entities operating within Kuwait's dynamic business environment.</w:t>
      </w:r>
    </w:p>
    <w:p>
      <w:pPr>
        <w:pStyle w:val="BodyText"/>
      </w:pPr>
      <w:r>
        <w:rPr>
          <w:bCs/>
          <w:b/>
        </w:rPr>
        <w:t xml:space="preserve">Problem Statement</w:t>
      </w:r>
    </w:p>
    <w:p>
      <w:pPr>
        <w:pStyle w:val="BodyText"/>
      </w:pPr>
      <w:r>
        <w:t xml:space="preserve">Kuwait City’s rapid economic transformation, while promising, has exposed significant gaps in the competencies required of an Accountant. Current professional frameworks fail to adequately address three interrelated challenges: (1) the implementation of International Financial Reporting Standards (IFRS) alongside Kuwaiti legal requirements creates compliance ambiguity; (2) digital disruption from AI-driven accounting tools and blockchain is outpacing skill development among local professionals; and (3) the surge in non-oil sectors—such as fintech, real estate, and renewable energy—demands specialized financial expertise absent in traditional accounting curricula. This disconnect risks compromising Kuwait’s fiscal transparency goals and investor confidence, particularly within Kuwait City’s bustling Central Business District where 70% of foreign investments are concentrated (Central Bank of Kuwait, 2023). Without targeted research, the Accountant profession may become a bottleneck for Kuwait’s economic ambitions.</w:t>
      </w:r>
    </w:p>
    <w:p>
      <w:pPr>
        <w:pStyle w:val="BodyText"/>
      </w:pPr>
      <w:r>
        <w:rPr>
          <w:bCs/>
          <w:b/>
        </w:rPr>
        <w:t xml:space="preserve">Research Objectives</w:t>
      </w:r>
    </w:p>
    <w:p>
      <w:pPr>
        <w:pStyle w:val="BodyText"/>
      </w:pPr>
      <w:r>
        <w:t xml:space="preserve">This Thesis Proposal establishes the following concrete objectives to address these critical gaps:</w:t>
      </w:r>
    </w:p>
    <w:p>
      <w:pPr>
        <w:numPr>
          <w:ilvl w:val="0"/>
          <w:numId w:val="1001"/>
        </w:numPr>
        <w:pStyle w:val="Compact"/>
      </w:pPr>
      <w:r>
        <w:t xml:space="preserve">To analyze regulatory alignment challenges between IFRS, Kuwaiti Commercial Law, and emerging GCC financial directives for an Accountant operating in Kuwait City.</w:t>
      </w:r>
    </w:p>
    <w:p>
      <w:pPr>
        <w:numPr>
          <w:ilvl w:val="0"/>
          <w:numId w:val="1001"/>
        </w:numPr>
        <w:pStyle w:val="Compact"/>
      </w:pPr>
      <w:r>
        <w:t xml:space="preserve">To evaluate the digital skill gap among 500+ certified Accountants across Kuwait City’s top accounting firms and multinational corporations through structured surveys and interviews.</w:t>
      </w:r>
    </w:p>
    <w:p>
      <w:pPr>
        <w:numPr>
          <w:ilvl w:val="0"/>
          <w:numId w:val="1001"/>
        </w:numPr>
        <w:pStyle w:val="Compact"/>
      </w:pPr>
      <w:r>
        <w:t xml:space="preserve">To develop a competency framework integrating traditional accounting skills with fintech literacy, ESG reporting expertise, and cross-cultural negotiation abilities essential for an Accountant in Kuwait’s multicultural business ecosystem.</w:t>
      </w:r>
    </w:p>
    <w:p>
      <w:pPr>
        <w:numPr>
          <w:ilvl w:val="0"/>
          <w:numId w:val="1001"/>
        </w:numPr>
        <w:pStyle w:val="Compact"/>
      </w:pPr>
      <w:r>
        <w:t xml:space="preserve">To propose a strategic roadmap for the Kuwait Institute of Accountants (KIA) to update certification standards aligned with Kuwait City’s economic diversification priorities.</w:t>
      </w:r>
    </w:p>
    <w:p>
      <w:pPr>
        <w:pStyle w:val="FirstParagraph"/>
      </w:pPr>
      <w:r>
        <w:rPr>
          <w:bCs/>
          <w:b/>
        </w:rPr>
        <w:t xml:space="preserve">Literature Review Context</w:t>
      </w:r>
    </w:p>
    <w:p>
      <w:pPr>
        <w:pStyle w:val="BodyText"/>
      </w:pPr>
      <w:r>
        <w:t xml:space="preserve">Existing scholarship on accounting in Gulf economies often focuses narrowly on Saudi Arabia or UAE, neglecting Kuwait’s unique institutional context. Studies by Al-Suwaidi (2021) highlight IFRS adoption barriers in the GCC but omit Kuwait City-specific municipal tax complexities. Meanwhile, research by Al-Mutairi &amp; Hassan (2022) on AI in accounting fails to consider how Arabic-language financial systems and Gulf cultural norms impact technology implementation. This thesis directly addresses these gaps by centering Kuwait City as the exclusive geographic and professional laboratory—where an Accountant navigates dual regulatory systems (Kuwaiti Civil Code + IFRS) while serving clients from 120+ nationalities across 4,000+ registered businesses in the Capital Governorate. Our work builds on foundational texts like the Kuwait Financial Reporting Standards Manual (2023) but challenges their static application in a city where real estate transactions alone grew by 37% YoY (Kuwait Ministry of Commerce, 2024).</w:t>
      </w:r>
    </w:p>
    <w:p>
      <w:pPr>
        <w:pStyle w:val="BodyText"/>
      </w:pPr>
      <w:r>
        <w:rPr>
          <w:bCs/>
          <w:b/>
        </w:rPr>
        <w:t xml:space="preserve">Methodology</w:t>
      </w:r>
    </w:p>
    <w:p>
      <w:pPr>
        <w:pStyle w:val="BodyText"/>
      </w:pPr>
      <w:r>
        <w:t xml:space="preserve">A mixed-methods approach will ensure rigor and contextual relevance for this Thesis Proposal. Phase One employs quantitative analysis: a stratified random survey distributed to all 1,850 registered Accountants in Kuwait City via the KIA database, measuring competencies in regulatory knowledge (7-point Likert scale), technology adoption (5-point usage metrics), and sector specialization. Phase Two conducts qualitative depth interviews with 30 senior professionals—accounting firm partners at PwC Kuwait, Deloitte Gulf, and local entities like Al-Kharafi &amp; Sons—to explore implementation barriers. Crucially, data collection will occur exclusively within Kuwait City’s business districts (Salmiya, Hawally) to maintain geographic precision. All analysis will use NVivo for thematic coding and SPSS for statistical validation against the Central Bank’s Economic Diversification Index (EDI), ensuring findings directly inform Kuwait City’s operational realities.</w:t>
      </w:r>
    </w:p>
    <w:p>
      <w:pPr>
        <w:pStyle w:val="BodyText"/>
      </w:pPr>
      <w:r>
        <w:rPr>
          <w:bCs/>
          <w:b/>
        </w:rPr>
        <w:t xml:space="preserve">Expected Outcomes &amp; Significance</w:t>
      </w:r>
    </w:p>
    <w:p>
      <w:pPr>
        <w:pStyle w:val="BodyText"/>
      </w:pPr>
      <w:r>
        <w:t xml:space="preserve">This research promises transformative outcomes for Kuwait City's economic infrastructure. We anticipate identifying that 68% of Accountants require upskilling in ESG reporting—critical as Kuwait’s new Green Economy Law mandates carbon accounting by 2026. Our competency framework will provide the first standardized model for training programs at institutions like the Gulf University for Science and Technology (GUST), directly addressing skill shortages reported in Kuwait City’s annual talent gap study (Kuwait Chamber of Commerce, 2023). Most significantly, this Thesis Proposal will deliver actionable policy recommendations to the Ministry of Finance and KIA, potentially accelerating regulatory harmonization with UAE’s Federal Accounting Standards. For the practicing Accountant in Kuwait City, this work offers a clear path to professional evolution beyond compliance toward strategic advisory roles—elevating their value in sectors like fintech where 40 new startups emerged in Kuwait City last year alone.</w:t>
      </w:r>
    </w:p>
    <w:p>
      <w:pPr>
        <w:pStyle w:val="BodyText"/>
      </w:pPr>
      <w:r>
        <w:rPr>
          <w:bCs/>
          <w:b/>
        </w:rPr>
        <w:t xml:space="preserve">Timeline &amp; Feasibility</w:t>
      </w:r>
    </w:p>
    <w:p>
      <w:pPr>
        <w:pStyle w:val="BodyText"/>
      </w:pPr>
      <w:r>
        <w:t xml:space="preserve">With Kuwait City’s business calendar accommodating research phases, this thesis can be completed within 12 months. The first three months will finalize methodology with KIA oversight; the next six months conduct data collection during Kuwait City’s post-holiday business resurgence (after Ramadan); and the final three months synthesize findings for stakeholder workshops at the Kuwait Financial Centre (Kuwait Finance House). Resource feasibility is ensured through partnerships with the Central Bank of Kuwait’s Innovation Lab and access to anonymized industry datasets. Crucially, all research protocols will comply with Kuwaiti Data Protection Law No. 39 of 2022, affirming ethical rigor.</w:t>
      </w:r>
    </w:p>
    <w:p>
      <w:pPr>
        <w:pStyle w:val="BodyText"/>
      </w:pPr>
      <w:r>
        <w:rPr>
          <w:bCs/>
          <w:b/>
        </w:rPr>
        <w:t xml:space="preserve">Conclusion</w:t>
      </w:r>
    </w:p>
    <w:p>
      <w:pPr>
        <w:pStyle w:val="BodyText"/>
      </w:pPr>
      <w:r>
        <w:t xml:space="preserve">In an era where economic diversification is synonymous with national sovereignty for Kuwait City, the Accountant is no longer a passive recorder of transactions but an active architect of financial strategy. This Thesis Proposal establishes that without modernizing the professional identity and skill sets of an Accountant within Kuwait City’s unique socio-regulatory environment, Kuwait’s Vision 2035 remains imperiled by internal systemic weaknesses. By centering our research on the lived experiences and challenges faced by accountants operating daily in Kuwait City—from Safat to Al-Salam—this study will produce the first evidence-based blueprint for transforming accounting into a catalyst for sustainable economic growth. The significance extends beyond academia: it empowers Kuwait City as a model financial hub where an Accountant’s expertise directly fuels national prosperity, ensuring that every audit report and tax filing contributes to a more resilient, diversified economy.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Accountant in Kuwait City's Financial Landscape</dc:title>
  <dc:creator/>
  <dc:language>en</dc:language>
  <cp:keywords/>
  <dcterms:created xsi:type="dcterms:W3CDTF">2026-07-21T11:14:56Z</dcterms:created>
  <dcterms:modified xsi:type="dcterms:W3CDTF">2026-07-21T11:14:56Z</dcterms:modified>
</cp:coreProperties>
</file>

<file path=docProps/custom.xml><?xml version="1.0" encoding="utf-8"?>
<Properties xmlns="http://schemas.openxmlformats.org/officeDocument/2006/custom-properties" xmlns:vt="http://schemas.openxmlformats.org/officeDocument/2006/docPropsVTypes"/>
</file>