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Amsterdam's</w:t>
      </w:r>
      <w:r>
        <w:t xml:space="preserve"> </w:t>
      </w:r>
      <w:r>
        <w:t xml:space="preserve">Dynamic</w:t>
      </w:r>
      <w:r>
        <w:t xml:space="preserve"> </w:t>
      </w:r>
      <w:r>
        <w:t xml:space="preserve">Financial</w:t>
      </w:r>
      <w:r>
        <w:t xml:space="preserve"> </w:t>
      </w:r>
      <w:r>
        <w:t xml:space="preserve">Ecosystem</w:t>
      </w:r>
    </w:p>
    <w:bookmarkStart w:id="32" w:name="X0492c989965b6cc652741533516c3de87c3d1ec"/>
    <w:p>
      <w:pPr>
        <w:pStyle w:val="Heading1"/>
      </w:pPr>
      <w:r>
        <w:t xml:space="preserve">Thesis Proposal: The Evolving Role of Accountants in Amsterdam's Dynamic Financial Ecosystem</w:t>
      </w:r>
    </w:p>
    <w:bookmarkStart w:id="20" w:name="introduction-and-contextual-background"/>
    <w:p>
      <w:pPr>
        <w:pStyle w:val="Heading2"/>
      </w:pPr>
      <w:r>
        <w:t xml:space="preserve">1. Introduction and Contextual Background</w:t>
      </w:r>
    </w:p>
    <w:p>
      <w:pPr>
        <w:pStyle w:val="FirstParagraph"/>
      </w:pPr>
      <w:r>
        <w:t xml:space="preserve">The Netherlands, particularly Amsterdam as its financial capital, represents a pivotal hub for international accounting and finance within the European Union. With over 50% of Europe's largest multinational corporations maintaining headquarters or regional offices in Amsterdam, the city has become a crucible for innovative accounting practices. This thesis proposal addresses a critical gap in contemporary professional discourse: how Dutch accountants are navigating rapid regulatory shifts, digital transformation, and evolving stakeholder expectations within the unique economic and cultural landscape of Amsterdam. The Netherlands' position as an EU leader in corporate tax optimization, sustainable finance initiatives (such as the Dutch Climate Agreement), and fintech innovation demands a re-evaluation of traditional accounting roles. This research directly responds to the European Commission's 2023 report highlighting "the urgent need for accountants to develop strategic advisory competencies beyond compliance" – a challenge particularly acute in Amsterdam's high-stakes financial environment.</w:t>
      </w:r>
    </w:p>
    <w:bookmarkEnd w:id="20"/>
    <w:bookmarkStart w:id="21" w:name="problem-statement"/>
    <w:p>
      <w:pPr>
        <w:pStyle w:val="Heading2"/>
      </w:pPr>
      <w:r>
        <w:t xml:space="preserve">2. Problem Statement</w:t>
      </w:r>
    </w:p>
    <w:p>
      <w:pPr>
        <w:pStyle w:val="FirstParagraph"/>
      </w:pPr>
      <w:r>
        <w:t xml:space="preserve">While global accounting frameworks like IFRS and GDPR are standardized, their implementation in Amsterdam presents distinct complexities. Dutch accountants face three interrelated pressures: (1) the Netherlands' exceptionally detailed corporate tax regulations (e.g., 180+ pages of fiscal guidelines), (2) the acceleration of automation through AI-driven tools like those developed by Amsterdam-based fintechs (e.g., Databricks, Adyen), and (3) the cultural expectation for accountants to serve as strategic business partners rather than mere compliance officers. Current academic literature focuses predominantly on Anglo-American contexts, leaving a significant void in understanding how accountants operate within the Netherlands' specific institutional framework. This gap jeopardizes Amsterdam's competitive position as a global financial center, where 62% of accounting firms (per Dutch Chamber of Commerce data) report skill shortages in advanced analytics and sustainability reporting – directly impacting their ability to serve multinational clients.</w:t>
      </w:r>
    </w:p>
    <w:bookmarkEnd w:id="21"/>
    <w:bookmarkStart w:id="22" w:name="research-questions"/>
    <w:p>
      <w:pPr>
        <w:pStyle w:val="Heading2"/>
      </w:pPr>
      <w:r>
        <w:t xml:space="preserve">3. Research Questions</w:t>
      </w:r>
    </w:p>
    <w:p>
      <w:pPr>
        <w:numPr>
          <w:ilvl w:val="0"/>
          <w:numId w:val="1001"/>
        </w:numPr>
        <w:pStyle w:val="Compact"/>
      </w:pPr>
      <w:r>
        <w:t xml:space="preserve">How do Amsterdam-based accountants balance regulatory compliance with strategic advisory functions amid Netherlands-specific tax legislation (e.g., Dividend Tax Act, Corporate Income Tax Act)?</w:t>
      </w:r>
    </w:p>
    <w:p>
      <w:pPr>
        <w:numPr>
          <w:ilvl w:val="0"/>
          <w:numId w:val="1001"/>
        </w:numPr>
        <w:pStyle w:val="Compact"/>
      </w:pPr>
      <w:r>
        <w:t xml:space="preserve">What skill transformation is required for Dutch accountants to effectively leverage digital tools within Amsterdam's fintech ecosystem while maintaining professional ethics?</w:t>
      </w:r>
    </w:p>
    <w:p>
      <w:pPr>
        <w:numPr>
          <w:ilvl w:val="0"/>
          <w:numId w:val="1001"/>
        </w:numPr>
        <w:pStyle w:val="Compact"/>
      </w:pPr>
      <w:r>
        <w:t xml:space="preserve">In what ways does Amsterdam's multicultural business environment shape the evolving identity of the accountant as a trusted advisor?</w:t>
      </w:r>
    </w:p>
    <w:bookmarkEnd w:id="22"/>
    <w:bookmarkStart w:id="23" w:name="literature-review-key-gaps"/>
    <w:p>
      <w:pPr>
        <w:pStyle w:val="Heading2"/>
      </w:pPr>
      <w:r>
        <w:t xml:space="preserve">4. Literature Review (Key Gaps)</w:t>
      </w:r>
    </w:p>
    <w:p>
      <w:pPr>
        <w:pStyle w:val="FirstParagraph"/>
      </w:pPr>
      <w:r>
        <w:t xml:space="preserve">Existing scholarship on accounting profession evolution reveals three critical omissions relevant to Amsterdam:</w:t>
      </w:r>
    </w:p>
    <w:p>
      <w:pPr>
        <w:numPr>
          <w:ilvl w:val="0"/>
          <w:numId w:val="1002"/>
        </w:numPr>
        <w:pStyle w:val="Compact"/>
      </w:pPr>
      <w:r>
        <w:rPr>
          <w:iCs/>
          <w:i/>
        </w:rPr>
        <w:t xml:space="preserve">Regulatory Context Ignorance:</w:t>
      </w:r>
      <w:r>
        <w:t xml:space="preserve"> </w:t>
      </w:r>
      <w:r>
        <w:t xml:space="preserve">Studies by the International Federation of Accountants (IFAC) overlook the Netherlands' unique "tax-friendly" legislative architecture, which creates higher compliance complexity than EU averages.</w:t>
      </w:r>
    </w:p>
    <w:p>
      <w:pPr>
        <w:numPr>
          <w:ilvl w:val="0"/>
          <w:numId w:val="1002"/>
        </w:numPr>
        <w:pStyle w:val="Compact"/>
      </w:pPr>
      <w:r>
        <w:rPr>
          <w:iCs/>
          <w:i/>
        </w:rPr>
        <w:t xml:space="preserve">Local Cultural Dynamics:</w:t>
      </w:r>
      <w:r>
        <w:t xml:space="preserve"> </w:t>
      </w:r>
      <w:r>
        <w:t xml:space="preserve">Research on Dutch business culture (e.g., Hofstede Insights) fails to link low-power-distance norms to accounting practices, where accountants routinely collaborate with CEOs on strategic decisions – unlike hierarchical corporate structures in other European capitals.</w:t>
      </w:r>
    </w:p>
    <w:p>
      <w:pPr>
        <w:numPr>
          <w:ilvl w:val="0"/>
          <w:numId w:val="1002"/>
        </w:numPr>
        <w:pStyle w:val="Compact"/>
      </w:pPr>
      <w:r>
        <w:rPr>
          <w:iCs/>
          <w:i/>
        </w:rPr>
        <w:t xml:space="preserve">Digital Adoption Disparities:</w:t>
      </w:r>
      <w:r>
        <w:t xml:space="preserve"> </w:t>
      </w:r>
      <w:r>
        <w:t xml:space="preserve">While McKinsey documents automation trends globally, no study examines Amsterdam's distinctive fintech integration (e.g., De Nederlandsche Bank's regulatory sandbox) and its impact on accountant workflows.</w:t>
      </w:r>
    </w:p>
    <w:p>
      <w:pPr>
        <w:pStyle w:val="FirstParagraph"/>
      </w:pPr>
      <w:r>
        <w:t xml:space="preserve">This proposal fills these gaps by centering the Netherlands Amsterdam context as both setting and subject of inquiry.</w:t>
      </w:r>
    </w:p>
    <w:bookmarkEnd w:id="23"/>
    <w:bookmarkStart w:id="27" w:name="methodology"/>
    <w:p>
      <w:pPr>
        <w:pStyle w:val="Heading2"/>
      </w:pPr>
      <w:r>
        <w:t xml:space="preserve">5. Methodology</w:t>
      </w:r>
    </w:p>
    <w:p>
      <w:pPr>
        <w:pStyle w:val="FirstParagraph"/>
      </w:pPr>
      <w:r>
        <w:t xml:space="preserve">This study employs a mixed-methods approach tailored to Amsterdam's ecosystem:</w:t>
      </w:r>
    </w:p>
    <w:bookmarkStart w:id="24" w:name="phase-1-qualitative-analysis-months-1-3"/>
    <w:p>
      <w:pPr>
        <w:pStyle w:val="Heading3"/>
      </w:pPr>
      <w:r>
        <w:t xml:space="preserve">Phase 1: Qualitative Analysis (Months 1-3)</w:t>
      </w:r>
    </w:p>
    <w:p>
      <w:pPr>
        <w:numPr>
          <w:ilvl w:val="0"/>
          <w:numId w:val="1003"/>
        </w:numPr>
        <w:pStyle w:val="Compact"/>
      </w:pPr>
      <w:r>
        <w:rPr>
          <w:bCs/>
          <w:b/>
        </w:rPr>
        <w:t xml:space="preserve">Stakeholder Interviews:</w:t>
      </w:r>
      <w:r>
        <w:t xml:space="preserve"> </w:t>
      </w:r>
      <w:r>
        <w:t xml:space="preserve">25 semi-structured interviews with accountants at firms including KPMG Netherlands, PwC Amsterdam, and local practices like BDO Amsterdam. Focus on real-world challenges navigating Dutch tax law (e.g., VAT adjustments for cross-border e-commerce).</w:t>
      </w:r>
    </w:p>
    <w:p>
      <w:pPr>
        <w:numPr>
          <w:ilvl w:val="0"/>
          <w:numId w:val="1003"/>
        </w:numPr>
        <w:pStyle w:val="Compact"/>
      </w:pPr>
      <w:r>
        <w:rPr>
          <w:bCs/>
          <w:b/>
        </w:rPr>
        <w:t xml:space="preserve">Cultural Ethnography:</w:t>
      </w:r>
      <w:r>
        <w:t xml:space="preserve"> </w:t>
      </w:r>
      <w:r>
        <w:t xml:space="preserve">Observation of accounting team meetings at 3 multinational HQs in Amsterdam (e.g., Shell, Heineken) to document collaboration dynamics.</w:t>
      </w:r>
    </w:p>
    <w:bookmarkEnd w:id="24"/>
    <w:bookmarkStart w:id="25" w:name="phase-2-quantitative-survey-months-4-5"/>
    <w:p>
      <w:pPr>
        <w:pStyle w:val="Heading3"/>
      </w:pPr>
      <w:r>
        <w:t xml:space="preserve">Phase 2: Quantitative Survey (Months 4-5)</w:t>
      </w:r>
    </w:p>
    <w:p>
      <w:pPr>
        <w:numPr>
          <w:ilvl w:val="0"/>
          <w:numId w:val="1004"/>
        </w:numPr>
        <w:pStyle w:val="Compact"/>
      </w:pPr>
      <w:r>
        <w:rPr>
          <w:bCs/>
          <w:b/>
        </w:rPr>
        <w:t xml:space="preserve">Target Population:</w:t>
      </w:r>
      <w:r>
        <w:t xml:space="preserve"> </w:t>
      </w:r>
      <w:r>
        <w:t xml:space="preserve">150 certified accountants (Dutch Association of Accountants members) across Amsterdam's accounting sector.</w:t>
      </w:r>
    </w:p>
    <w:p>
      <w:pPr>
        <w:numPr>
          <w:ilvl w:val="0"/>
          <w:numId w:val="1004"/>
        </w:numPr>
        <w:pStyle w:val="Compact"/>
      </w:pPr>
      <w:r>
        <w:rPr>
          <w:bCs/>
          <w:b/>
        </w:rPr>
        <w:t xml:space="preserve">Key Metrics:</w:t>
      </w:r>
      <w:r>
        <w:t xml:space="preserve"> </w:t>
      </w:r>
      <w:r>
        <w:t xml:space="preserve">Skills assessment (digital literacy, sustainability reporting), regulatory stress levels, strategic advisory engagement frequency.</w:t>
      </w:r>
    </w:p>
    <w:p>
      <w:pPr>
        <w:numPr>
          <w:ilvl w:val="0"/>
          <w:numId w:val="1004"/>
        </w:numPr>
        <w:pStyle w:val="Compact"/>
      </w:pPr>
      <w:r>
        <w:rPr>
          <w:bCs/>
          <w:b/>
        </w:rPr>
        <w:t xml:space="preserve">Data Analysis:</w:t>
      </w:r>
      <w:r>
        <w:t xml:space="preserve"> </w:t>
      </w:r>
      <w:r>
        <w:t xml:space="preserve">Regression modeling to correlate skill gaps with firm performance metrics (e.g., client retention rates).</w:t>
      </w:r>
    </w:p>
    <w:bookmarkEnd w:id="25"/>
    <w:bookmarkStart w:id="26" w:name="ethical-considerations"/>
    <w:p>
      <w:pPr>
        <w:pStyle w:val="Heading3"/>
      </w:pPr>
      <w:r>
        <w:t xml:space="preserve">Ethical Considerations</w:t>
      </w:r>
    </w:p>
    <w:p>
      <w:pPr>
        <w:pStyle w:val="FirstParagraph"/>
      </w:pPr>
      <w:r>
        <w:t xml:space="preserve">All participants will provide informed consent, with data anonymized per Dutch Data Protection Act (AWPB) requirements. Findings will be submitted to the Netherlands Accounting Association for validation.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anticipates three transformative contributions:</w:t>
      </w:r>
    </w:p>
    <w:p>
      <w:pPr>
        <w:numPr>
          <w:ilvl w:val="0"/>
          <w:numId w:val="1005"/>
        </w:numPr>
        <w:pStyle w:val="Compact"/>
      </w:pPr>
      <w:r>
        <w:rPr>
          <w:bCs/>
          <w:b/>
        </w:rPr>
        <w:t xml:space="preserve">A Amsterdam-Specific Professional Framework:</w:t>
      </w:r>
      <w:r>
        <w:t xml:space="preserve"> </w:t>
      </w:r>
      <w:r>
        <w:t xml:space="preserve">Development of "The Amsterdam Accountant Competency Model," integrating Dutch legal requirements (e.g., Dutch GAAP), EU sustainability directives (CSRD), and digital skillsets. This framework will directly address the Netherlands Chamber of Commerce's 2023 call for "future-proofing accounting education."</w:t>
      </w:r>
    </w:p>
    <w:p>
      <w:pPr>
        <w:numPr>
          <w:ilvl w:val="0"/>
          <w:numId w:val="1005"/>
        </w:numPr>
        <w:pStyle w:val="Compact"/>
      </w:pPr>
      <w:r>
        <w:rPr>
          <w:bCs/>
          <w:b/>
        </w:rPr>
        <w:t xml:space="preserve">Policy Recommendations:</w:t>
      </w:r>
      <w:r>
        <w:t xml:space="preserve"> </w:t>
      </w:r>
      <w:r>
        <w:t xml:space="preserve">Evidence-based proposals for the Dutch Ministry of Finance on updating professional certification requirements to emphasize strategic advisory capabilities, potentially influencing EU-wide accounting standards.</w:t>
      </w:r>
    </w:p>
    <w:p>
      <w:pPr>
        <w:numPr>
          <w:ilvl w:val="0"/>
          <w:numId w:val="1005"/>
        </w:numPr>
        <w:pStyle w:val="Compact"/>
      </w:pPr>
      <w:r>
        <w:rPr>
          <w:bCs/>
          <w:b/>
        </w:rPr>
        <w:t xml:space="preserve">Cultural Intelligence Tool:</w:t>
      </w:r>
      <w:r>
        <w:t xml:space="preserve"> </w:t>
      </w:r>
      <w:r>
        <w:t xml:space="preserve">A practical guide for accountants navigating Amsterdam's distinctive business culture – where direct communication (e.g., "klik op de knop" approach) and work-life balance expectations differ markedly from London or Paris financial centers.</w:t>
      </w:r>
    </w:p>
    <w:p>
      <w:pPr>
        <w:pStyle w:val="FirstParagraph"/>
      </w:pPr>
      <w:r>
        <w:t xml:space="preserve">The significance extends beyond academia: With Amsterdam hosting over 120,000 finance professionals (Amsterdam Economic Board, 2023), this research offers immediate value to firms like Deloitte Amsterdam and local accounting bodies. It directly supports the Netherlands' national strategy to become a "Sustainable Finance Leader" by equipping accountants with ESG reporting competencies – a priority in the Dutch Climate Agreement.</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ethics approval (Amsterdam UvA Ethics Committee)</w:t>
            </w:r>
          </w:p>
        </w:tc>
      </w:tr>
      <w:tr>
        <w:tc>
          <w:tcPr/>
          <w:p>
            <w:pPr>
              <w:pStyle w:val="Compact"/>
              <w:jc w:val="left"/>
            </w:pPr>
            <w:r>
              <w:t xml:space="preserve">3-4</w:t>
            </w:r>
          </w:p>
        </w:tc>
        <w:tc>
          <w:tcPr/>
          <w:p>
            <w:pPr>
              <w:pStyle w:val="Compact"/>
              <w:jc w:val="left"/>
            </w:pPr>
            <w:r>
              <w:t xml:space="preserve">Data collection: Stakeholder interviews &amp; firm observations</w:t>
            </w:r>
          </w:p>
        </w:tc>
      </w:tr>
      <w:tr>
        <w:tc>
          <w:tcPr/>
          <w:p>
            <w:pPr>
              <w:pStyle w:val="Compact"/>
              <w:jc w:val="left"/>
            </w:pPr>
            <w:r>
              <w:t xml:space="preserve">5-6</w:t>
            </w:r>
          </w:p>
        </w:tc>
        <w:tc>
          <w:tcPr/>
          <w:p>
            <w:pPr>
              <w:pStyle w:val="Compact"/>
              <w:jc w:val="left"/>
            </w:pPr>
            <w:r>
              <w:t xml:space="preserve">Survey implementation &amp; data analysis (using SPSS)</w:t>
            </w:r>
          </w:p>
        </w:tc>
      </w:tr>
      <w:tr>
        <w:tc>
          <w:tcPr/>
          <w:p>
            <w:pPr>
              <w:pStyle w:val="Compact"/>
              <w:jc w:val="left"/>
            </w:pPr>
            <w:r>
              <w:t xml:space="preserve">7-8</w:t>
            </w:r>
          </w:p>
        </w:tc>
        <w:tc>
          <w:tcPr/>
          <w:p>
            <w:pPr>
              <w:pStyle w:val="Compact"/>
              <w:jc w:val="left"/>
            </w:pPr>
            <w:r>
              <w:t xml:space="preserve">Framework development &amp; policy brief drafting</w:t>
            </w:r>
          </w:p>
        </w:tc>
      </w:tr>
      <w:tr>
        <w:tc>
          <w:tcPr/>
          <w:p>
            <w:pPr>
              <w:pStyle w:val="Compact"/>
              <w:jc w:val="left"/>
            </w:pPr>
            <w:r>
              <w:t xml:space="preserve">9-10</w:t>
            </w:r>
          </w:p>
        </w:tc>
        <w:tc>
          <w:tcPr/>
          <w:p>
            <w:pPr>
              <w:pStyle w:val="Compact"/>
              <w:jc w:val="left"/>
            </w:pPr>
            <w:r>
              <w:t xml:space="preserve">Thesis writing &amp; validation with Dutch Accountancy Association</w:t>
            </w:r>
          </w:p>
        </w:tc>
      </w:tr>
    </w:tbl>
    <w:bookmarkEnd w:id="29"/>
    <w:bookmarkStart w:id="30" w:name="conclusion"/>
    <w:p>
      <w:pPr>
        <w:pStyle w:val="Heading2"/>
      </w:pPr>
      <w:r>
        <w:t xml:space="preserve">8. Conclusion</w:t>
      </w:r>
    </w:p>
    <w:p>
      <w:pPr>
        <w:pStyle w:val="FirstParagraph"/>
      </w:pPr>
      <w:r>
        <w:t xml:space="preserve">The accountant in Netherlands Amsterdam is at a pivotal inflection point – no longer merely a number-cruncher but the architect of financial strategy in Europe's most dynamic business ecosystem. This thesis proposal establishes that understanding this evolution requires deep immersion in Amsterdam's specific regulatory, technological, and cultural fabric. By centering the Netherlands Amsterdam context as both setting and subject, this research transcends generic accounting studies to deliver actionable insights for professionals navigating one of the world's most sophisticated financial landscapes. The outcome will empower Dutch accountants to lead not just compliance but innovation – directly supporting Amsterdam's ambition to remain Europe's premier hub for accountable finance in the 21st century. With over 40% of Netherlands-based accounting firms reporting "strategic advisory" as their fastest-growing service (KPMG Netherlands, 2023), this study is not merely academic; it is a practical necessity for Amsterdam's economic future.</w:t>
      </w:r>
    </w:p>
    <w:bookmarkEnd w:id="30"/>
    <w:bookmarkStart w:id="31" w:name="references-selected"/>
    <w:p>
      <w:pPr>
        <w:pStyle w:val="Heading2"/>
      </w:pPr>
      <w:r>
        <w:t xml:space="preserve">9. References (Selected)</w:t>
      </w:r>
    </w:p>
    <w:p>
      <w:pPr>
        <w:numPr>
          <w:ilvl w:val="0"/>
          <w:numId w:val="1006"/>
        </w:numPr>
        <w:pStyle w:val="Compact"/>
      </w:pPr>
      <w:r>
        <w:t xml:space="preserve">Dutch Chamber of Commerce. (2023). *Accounting Sector Skills Survey*. The Hague: Rijksdienst voor Ondernemend Nederland.</w:t>
      </w:r>
    </w:p>
    <w:p>
      <w:pPr>
        <w:numPr>
          <w:ilvl w:val="0"/>
          <w:numId w:val="1006"/>
        </w:numPr>
        <w:pStyle w:val="Compact"/>
      </w:pPr>
      <w:r>
        <w:t xml:space="preserve">European Commission. (2023). *Accounting Profession in the Digital Age: EU Report*. Brussels: Directorate-General for Taxation and Customs Union.</w:t>
      </w:r>
    </w:p>
    <w:p>
      <w:pPr>
        <w:numPr>
          <w:ilvl w:val="0"/>
          <w:numId w:val="1006"/>
        </w:numPr>
        <w:pStyle w:val="Compact"/>
      </w:pPr>
      <w:r>
        <w:t xml:space="preserve">Hofstede Insights. (2024). *Netherlands Cultural Dimensions Report*. Amsterdam: Hofstede Consulting.</w:t>
      </w:r>
    </w:p>
    <w:p>
      <w:pPr>
        <w:numPr>
          <w:ilvl w:val="0"/>
          <w:numId w:val="1006"/>
        </w:numPr>
        <w:pStyle w:val="Compact"/>
      </w:pPr>
      <w:r>
        <w:t xml:space="preserve">International Federation of Accountants (IFAC). (2023). *Global Accounting Profession Survey*. Washington, DC: IFAC.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Amsterdam's Dynamic Financial Ecosystem</dc:title>
  <dc:creator/>
  <dc:language>en</dc:language>
  <cp:keywords/>
  <dcterms:created xsi:type="dcterms:W3CDTF">2026-07-19T18:21:05Z</dcterms:created>
  <dcterms:modified xsi:type="dcterms:W3CDTF">2026-07-19T18:21:05Z</dcterms:modified>
</cp:coreProperties>
</file>

<file path=docProps/custom.xml><?xml version="1.0" encoding="utf-8"?>
<Properties xmlns="http://schemas.openxmlformats.org/officeDocument/2006/custom-properties" xmlns:vt="http://schemas.openxmlformats.org/officeDocument/2006/docPropsVTypes"/>
</file>