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New</w:t>
      </w:r>
      <w:r>
        <w:t xml:space="preserve"> </w:t>
      </w:r>
      <w:r>
        <w:t xml:space="preserve">Zealand</w:t>
      </w:r>
      <w:r>
        <w:t xml:space="preserve"> </w:t>
      </w:r>
      <w:r>
        <w:t xml:space="preserve">Wellington</w:t>
      </w:r>
    </w:p>
    <w:bookmarkStart w:id="29" w:name="Xcbc55a8158b077d78200bad2daa6b3166f32b3d"/>
    <w:p>
      <w:pPr>
        <w:pStyle w:val="Heading1"/>
      </w:pPr>
      <w:r>
        <w:t xml:space="preserve">Thesis Proposal: The Evolving Role of the Accountant in New Zealand Wellington's Dynamic Economic Landscape</w:t>
      </w:r>
    </w:p>
    <w:bookmarkStart w:id="20" w:name="introduction-and-background"/>
    <w:p>
      <w:pPr>
        <w:pStyle w:val="Heading2"/>
      </w:pPr>
      <w:r>
        <w:t xml:space="preserve">1. Introduction and Background</w:t>
      </w:r>
    </w:p>
    <w:p>
      <w:pPr>
        <w:pStyle w:val="FirstParagraph"/>
      </w:pPr>
      <w:r>
        <w:t xml:space="preserve">The professional landscape for an Accountant in New Zealand has undergone unprecedented transformation, particularly within Wellington—the nation's political and cultural heartland. As the capital city hosts over 30% of New Zealand's government agencies, major multinational headquarters, and burgeoning tech startups, the demand for specialized accounting expertise has intensified. This Thesis Proposal investigates how contemporary Accountants in Wellington navigate complex regulatory frameworks (including recent Tax Administration Act amendments), technological disruption (AI-driven accounting platforms), and evolving stakeholder expectations. With New Zealand’s economy projected to grow at 2.3% annually through 2025 (Statistics NZ, 2023), understanding the adaptive strategies of Accountants in Wellington is critical for sustaining both business competitiveness and national economic health.</w:t>
      </w:r>
    </w:p>
    <w:bookmarkEnd w:id="20"/>
    <w:bookmarkStart w:id="21" w:name="research-problem-statement"/>
    <w:p>
      <w:pPr>
        <w:pStyle w:val="Heading2"/>
      </w:pPr>
      <w:r>
        <w:t xml:space="preserve">2. Research Problem Statement</w:t>
      </w:r>
    </w:p>
    <w:p>
      <w:pPr>
        <w:pStyle w:val="FirstParagraph"/>
      </w:pPr>
      <w:r>
        <w:t xml:space="preserve">While global accounting trends are well-documented, there remains a significant gap in context-specific research focused on New Zealand Wellington. Current literature overlooks how local factors—such as the city's unique concentration of public sector entities (e.g., Department of Internal Affairs, Ministry for Primary Industries), high-growth SME clusters in the creative and tech sectors, and stringent compliance requirements under the Financial Markets Authority (FMA)—reshape professional practice. This Thesis Proposal addresses a pressing void: How are Accountants in Wellington strategically pivoting from traditional bookkeeping toward advisory roles while managing New Zealand-specific challenges like IRD’s digital tax initiatives and ESG reporting mandates? Without this insight, educational curricula, professional development pathways (e.g., CAANZ programs), and business strategy frameworks remain misaligned with Wellington's reality.</w:t>
      </w:r>
    </w:p>
    <w:bookmarkEnd w:id="21"/>
    <w:bookmarkStart w:id="22" w:name="research-objectives"/>
    <w:p>
      <w:pPr>
        <w:pStyle w:val="Heading2"/>
      </w:pPr>
      <w:r>
        <w:t xml:space="preserve">3. Research Objectives</w:t>
      </w:r>
    </w:p>
    <w:p>
      <w:pPr>
        <w:numPr>
          <w:ilvl w:val="0"/>
          <w:numId w:val="1001"/>
        </w:numPr>
        <w:pStyle w:val="Compact"/>
      </w:pPr>
      <w:r>
        <w:t xml:space="preserve">To map the current skillset evolution of Accountants across Wellington’s key sectors (public sector, tech startups, established SMEs).</w:t>
      </w:r>
    </w:p>
    <w:p>
      <w:pPr>
        <w:numPr>
          <w:ilvl w:val="0"/>
          <w:numId w:val="1001"/>
        </w:numPr>
        <w:pStyle w:val="Compact"/>
      </w:pPr>
      <w:r>
        <w:t xml:space="preserve">To identify regulatory and technological pain points unique to New Zealand Wellington (e.g., compliance with NZ IFRS 9 amid digital transformation).</w:t>
      </w:r>
    </w:p>
    <w:p>
      <w:pPr>
        <w:numPr>
          <w:ilvl w:val="0"/>
          <w:numId w:val="1001"/>
        </w:numPr>
        <w:pStyle w:val="Compact"/>
      </w:pPr>
      <w:r>
        <w:t xml:space="preserve">To assess how Accountants leverage local networks like the Wellington Chartered Accountants Network for professional resilience.</w:t>
      </w:r>
    </w:p>
    <w:p>
      <w:pPr>
        <w:numPr>
          <w:ilvl w:val="0"/>
          <w:numId w:val="1001"/>
        </w:numPr>
        <w:pStyle w:val="Compact"/>
      </w:pPr>
      <w:r>
        <w:t xml:space="preserve">To develop evidence-based recommendations for enhancing accounting education in New Zealand universities and practice firms within Wellington.</w:t>
      </w:r>
    </w:p>
    <w:bookmarkEnd w:id="22"/>
    <w:bookmarkStart w:id="23" w:name="Xe42bb26f445a4997dda515a086dba5f88267760"/>
    <w:p>
      <w:pPr>
        <w:pStyle w:val="Heading2"/>
      </w:pPr>
      <w:r>
        <w:t xml:space="preserve">4. Literature Review: Contextualizing the Wellington Perspective</w:t>
      </w:r>
    </w:p>
    <w:p>
      <w:pPr>
        <w:pStyle w:val="FirstParagraph"/>
      </w:pPr>
      <w:r>
        <w:t xml:space="preserve">Existing studies (e.g., Gartner, 2023; CAANZ, 2022) highlight global trends like AI automation reducing routine accounting tasks by 40%. However, these lack New Zealand nuance. For instance:</w:t>
      </w:r>
    </w:p>
    <w:p>
      <w:pPr>
        <w:numPr>
          <w:ilvl w:val="0"/>
          <w:numId w:val="1002"/>
        </w:numPr>
        <w:pStyle w:val="Compact"/>
      </w:pPr>
      <w:r>
        <w:t xml:space="preserve">New Zealand’s tax system (unlike Australia) requires Accountants to navigate frequent IRD policy shifts with limited prior notice.</w:t>
      </w:r>
    </w:p>
    <w:p>
      <w:pPr>
        <w:numPr>
          <w:ilvl w:val="0"/>
          <w:numId w:val="1002"/>
        </w:numPr>
        <w:pStyle w:val="Compact"/>
      </w:pPr>
      <w:r>
        <w:t xml:space="preserve">Wellington’s high concentration of government-linked entities necessitates expertise in public sector financial reporting standards (PSFRS), rarely covered in general accounting texts.</w:t>
      </w:r>
    </w:p>
    <w:p>
      <w:pPr>
        <w:numPr>
          <w:ilvl w:val="0"/>
          <w:numId w:val="1002"/>
        </w:numPr>
        <w:pStyle w:val="Compact"/>
      </w:pPr>
      <w:r>
        <w:t xml:space="preserve">Cultural factors matter: Wellington’s "lean startup" ethos demands Accountants provide agile financial insights for fast-paced businesses, contrasting with traditional corporate structures elsewhere in New Zealand.</w:t>
      </w:r>
    </w:p>
    <w:p>
      <w:pPr>
        <w:pStyle w:val="FirstParagraph"/>
      </w:pPr>
      <w:r>
        <w:t xml:space="preserve">This Thesis Proposal bridges this gap by anchoring analysis to Wellington’s distinct ecosystem—where an Accountant must simultaneously master local regulations, adapt to rapid business model innovation, and serve a city defined by its unique blend of public service and entrepreneurial energy.</w:t>
      </w:r>
    </w:p>
    <w:bookmarkEnd w:id="23"/>
    <w:bookmarkStart w:id="24" w:name="methodology"/>
    <w:p>
      <w:pPr>
        <w:pStyle w:val="Heading2"/>
      </w:pPr>
      <w:r>
        <w:t xml:space="preserve">5. Methodology</w:t>
      </w:r>
    </w:p>
    <w:p>
      <w:pPr>
        <w:pStyle w:val="FirstParagraph"/>
      </w:pPr>
      <w:r>
        <w:t xml:space="preserve">This mixed-methods study employs triangulation for robust insights:</w:t>
      </w:r>
    </w:p>
    <w:p>
      <w:pPr>
        <w:numPr>
          <w:ilvl w:val="0"/>
          <w:numId w:val="1003"/>
        </w:numPr>
        <w:pStyle w:val="Compact"/>
      </w:pPr>
      <w:r>
        <w:rPr>
          <w:bCs/>
          <w:b/>
        </w:rPr>
        <w:t xml:space="preserve">Quantitative Phase:</w:t>
      </w:r>
      <w:r>
        <w:t xml:space="preserve"> </w:t>
      </w:r>
      <w:r>
        <w:t xml:space="preserve">Survey 150+ Accountants across Wellington (stratified by firm size, sector, and experience). Targeted questions will measure adoption rates of tools like Xero and AI-driven analytics platforms, alongside self-assessed competency gaps in ESG reporting and NZ tax law.</w:t>
      </w:r>
    </w:p>
    <w:p>
      <w:pPr>
        <w:numPr>
          <w:ilvl w:val="0"/>
          <w:numId w:val="1003"/>
        </w:numPr>
        <w:pStyle w:val="Compact"/>
      </w:pPr>
      <w:r>
        <w:rPr>
          <w:bCs/>
          <w:b/>
        </w:rPr>
        <w:t xml:space="preserve">Qualitative Phase:</w:t>
      </w:r>
      <w:r>
        <w:t xml:space="preserve"> </w:t>
      </w:r>
      <w:r>
        <w:t xml:space="preserve">Conduct 25 semi-structured interviews with senior Accountants (e.g., partners at PwC Wellington, KPMG New Zealand, local firms like Grant Thornton), government finance officials (e.g., Treasury Wellington), and business owners in the Wellington CBD. Key themes will include adaptive strategies for regulatory change and collaboration models.</w:t>
      </w:r>
    </w:p>
    <w:p>
      <w:pPr>
        <w:numPr>
          <w:ilvl w:val="0"/>
          <w:numId w:val="1003"/>
        </w:numPr>
        <w:pStyle w:val="Compact"/>
      </w:pPr>
      <w:r>
        <w:rPr>
          <w:bCs/>
          <w:b/>
        </w:rPr>
        <w:t xml:space="preserve">Contextual Analysis:</w:t>
      </w:r>
      <w:r>
        <w:t xml:space="preserve"> </w:t>
      </w:r>
      <w:r>
        <w:t xml:space="preserve">Cross-reference findings with New Zealand-specific datasets: IRD compliance statistics, Stats NZ economic reports on Wellington’s sectors, and CAANZ professional development trends.</w:t>
      </w:r>
    </w:p>
    <w:p>
      <w:pPr>
        <w:pStyle w:val="FirstParagraph"/>
      </w:pPr>
      <w:r>
        <w:t xml:space="preserve">Ethical approval will be sought from Victoria University of Wellington’s Research Ethics Committee. Data analysis will use SPSS for quantitative trends and NVivo for thematic coding of interviews.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key contributions:</w:t>
      </w:r>
    </w:p>
    <w:p>
      <w:pPr>
        <w:numPr>
          <w:ilvl w:val="0"/>
          <w:numId w:val="1004"/>
        </w:numPr>
        <w:pStyle w:val="Compact"/>
      </w:pPr>
      <w:r>
        <w:rPr>
          <w:bCs/>
          <w:b/>
        </w:rPr>
        <w:t xml:space="preserve">For Accountants in New Zealand Wellington:</w:t>
      </w:r>
      <w:r>
        <w:t xml:space="preserve"> </w:t>
      </w:r>
      <w:r>
        <w:t xml:space="preserve">A tailored competency framework highlighting non-technical skills (e.g., stakeholder communication for public-sector clients, data storytelling) that are increasingly vital beyond technical accounting.</w:t>
      </w:r>
    </w:p>
    <w:p>
      <w:pPr>
        <w:numPr>
          <w:ilvl w:val="0"/>
          <w:numId w:val="1004"/>
        </w:numPr>
        <w:pStyle w:val="Compact"/>
      </w:pPr>
      <w:r>
        <w:rPr>
          <w:bCs/>
          <w:b/>
        </w:rPr>
        <w:t xml:space="preserve">For Educational Institutions:</w:t>
      </w:r>
      <w:r>
        <w:t xml:space="preserve"> </w:t>
      </w:r>
      <w:r>
        <w:t xml:space="preserve">Evidence to revise accounting curricula at institutions like the University of Wellington and Massey University’s Wellington campus, emphasizing New Zealand regulatory contexts and practical digital tools.</w:t>
      </w:r>
    </w:p>
    <w:p>
      <w:pPr>
        <w:numPr>
          <w:ilvl w:val="0"/>
          <w:numId w:val="1004"/>
        </w:numPr>
        <w:pStyle w:val="Compact"/>
      </w:pPr>
      <w:r>
        <w:rPr>
          <w:bCs/>
          <w:b/>
        </w:rPr>
        <w:t xml:space="preserve">For New Zealand's Economic Strategy:</w:t>
      </w:r>
      <w:r>
        <w:t xml:space="preserve"> </w:t>
      </w:r>
      <w:r>
        <w:t xml:space="preserve">A model for how Accountants drive regional economic resilience—e.g., by advising startups on grant applications (e.g., MBIE funding) or helping government agencies optimize public expenditure under fiscal constraints. In Wellington, where the accounting sector supports 12% of employment in professional services (Workforce New Zealand, 2023), this directly impacts local job quality and economic innovation.</w:t>
      </w:r>
    </w:p>
    <w:p>
      <w:pPr>
        <w:pStyle w:val="FirstParagraph"/>
      </w:pPr>
      <w:r>
        <w:t xml:space="preserve">Crucially, the research will position Accountants not merely as compliance officers but as strategic partners enabling Wellington’s transition toward a knowledge-based economy—addressing issues like carbon accounting for the city’s net-zero commitments or financial governance for tech scale-ups.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Phase</w:t>
            </w:r>
          </w:p>
        </w:tc>
        <w:tc>
          <w:tcPr/>
          <w:p>
            <w:pPr>
              <w:pStyle w:val="Compact"/>
              <w:jc w:val="left"/>
            </w:pPr>
            <w:r>
              <w:t xml:space="preserve">Timeline (Months)</w:t>
            </w:r>
          </w:p>
        </w:tc>
      </w:tr>
      <w:tr>
        <w:tc>
          <w:tcPr/>
          <w:p>
            <w:pPr>
              <w:pStyle w:val="Compact"/>
              <w:jc w:val="left"/>
            </w:pPr>
            <w:r>
              <w:t xml:space="preserve">Literature Review &amp; Instrument Design</w:t>
            </w:r>
          </w:p>
        </w:tc>
        <w:tc>
          <w:tcPr/>
          <w:p>
            <w:pPr>
              <w:pStyle w:val="Compact"/>
              <w:jc w:val="left"/>
            </w:pPr>
            <w:r>
              <w:t xml:space="preserve">1-2</w:t>
            </w:r>
          </w:p>
        </w:tc>
      </w:tr>
      <w:tr>
        <w:tc>
          <w:tcPr/>
          <w:p>
            <w:pPr>
              <w:pStyle w:val="Compact"/>
              <w:jc w:val="left"/>
            </w:pPr>
            <w:r>
              <w:t xml:space="preserve">Data Collection (Surveys &amp; Interviews)</w:t>
            </w:r>
          </w:p>
        </w:tc>
        <w:tc>
          <w:tcPr/>
          <w:p>
            <w:pPr>
              <w:pStyle w:val="Compact"/>
              <w:jc w:val="left"/>
            </w:pPr>
            <w:r>
              <w:t xml:space="preserve">3-5</w:t>
            </w:r>
          </w:p>
        </w:tc>
      </w:tr>
      <w:tr>
        <w:tc>
          <w:tcPr/>
          <w:p>
            <w:pPr>
              <w:pStyle w:val="Compact"/>
              <w:jc w:val="left"/>
            </w:pPr>
            <w:r>
              <w:t xml:space="preserve">Data Analysis &amp; Drafting</w:t>
            </w:r>
          </w:p>
        </w:tc>
        <w:tc>
          <w:tcPr/>
          <w:p>
            <w:pPr>
              <w:pStyle w:val="Compact"/>
              <w:jc w:val="left"/>
            </w:pPr>
            <w:r>
              <w:t xml:space="preserve">6-8</w:t>
            </w:r>
          </w:p>
        </w:tc>
      </w:tr>
      <w:tr>
        <w:tc>
          <w:tcPr/>
          <w:p>
            <w:pPr>
              <w:pStyle w:val="Compact"/>
              <w:jc w:val="left"/>
            </w:pPr>
            <w:r>
              <w:t xml:space="preserve">Stakeholder Feedback &amp; Finalization</w:t>
            </w:r>
          </w:p>
        </w:tc>
        <w:tc>
          <w:tcPr/>
          <w:p>
            <w:pPr>
              <w:pStyle w:val="Compact"/>
              <w:jc w:val="left"/>
            </w:pPr>
            <w:r>
              <w:t xml:space="preserve">9-10</w:t>
            </w:r>
          </w:p>
        </w:tc>
      </w:tr>
    </w:tbl>
    <w:bookmarkEnd w:id="26"/>
    <w:bookmarkStart w:id="27" w:name="conclusion-why-wellington-matters-now"/>
    <w:p>
      <w:pPr>
        <w:pStyle w:val="Heading2"/>
      </w:pPr>
      <w:r>
        <w:t xml:space="preserve">8. Conclusion: Why Wellington Matters Now</w:t>
      </w:r>
    </w:p>
    <w:p>
      <w:pPr>
        <w:pStyle w:val="FirstParagraph"/>
      </w:pPr>
      <w:r>
        <w:t xml:space="preserve">In an era where New Zealand’s economic future hinges on digital agility and sustainable growth, the Accountant in Wellington stands at a pivotal intersection. This Thesis Proposal moves beyond generic accounting discourse to interrogate how local context shapes professional identity—a necessity for a city that embodies New Zealand’s governance, innovation, and cultural dynamism. By centering the Wellington experience, this research will equip Accountants to lead rather than follow change, ensuring New Zealand remains competitive globally while delivering tangible value at the city level. As Wellington continues to attract global firms and home-grown talent, understanding the evolving Accountant role is not merely academic—it’s fundamental to securing our economic future.</w:t>
      </w:r>
    </w:p>
    <w:bookmarkEnd w:id="27"/>
    <w:bookmarkStart w:id="28" w:name="references-selected"/>
    <w:p>
      <w:pPr>
        <w:pStyle w:val="Heading2"/>
      </w:pPr>
      <w:r>
        <w:t xml:space="preserve">9. References (Selected)</w:t>
      </w:r>
    </w:p>
    <w:p>
      <w:pPr>
        <w:numPr>
          <w:ilvl w:val="0"/>
          <w:numId w:val="1005"/>
        </w:numPr>
        <w:pStyle w:val="Compact"/>
      </w:pPr>
      <w:r>
        <w:t xml:space="preserve">CAANZ (2023). *Accounting Profession Outlook: New Zealand*. Chartered Accountants Australia and New Zealand.</w:t>
      </w:r>
    </w:p>
    <w:p>
      <w:pPr>
        <w:numPr>
          <w:ilvl w:val="0"/>
          <w:numId w:val="1005"/>
        </w:numPr>
        <w:pStyle w:val="Compact"/>
      </w:pPr>
      <w:r>
        <w:t xml:space="preserve">Statistics NZ (2023). *New Zealand Economic Projections to 2025*. Wellington: Ministry of Business, Innovation &amp; Employment.</w:t>
      </w:r>
    </w:p>
    <w:p>
      <w:pPr>
        <w:numPr>
          <w:ilvl w:val="0"/>
          <w:numId w:val="1005"/>
        </w:numPr>
        <w:pStyle w:val="Compact"/>
      </w:pPr>
      <w:r>
        <w:t xml:space="preserve">IRB (Inland Revenue Department) (2023). *Tax Administration Act Amendments Summary*. Wellington: IRD.</w:t>
      </w:r>
    </w:p>
    <w:p>
      <w:pPr>
        <w:numPr>
          <w:ilvl w:val="0"/>
          <w:numId w:val="1005"/>
        </w:numPr>
        <w:pStyle w:val="Compact"/>
      </w:pPr>
      <w:r>
        <w:t xml:space="preserve">Workforce New Zealand (2023). *Wellington Professional Services Employment Report*. Wellington: Ministry for Primary Industries.</w:t>
      </w:r>
    </w:p>
    <w:p>
      <w:pPr>
        <w:pStyle w:val="FirstParagraph"/>
      </w:pPr>
      <w:r>
        <w:rPr>
          <w:iCs/>
          <w:i/>
        </w:rPr>
        <w:t xml:space="preserve">This Thesis Proposal directly addresses the critical need for context-specific accounting research in New Zealand’s capital city. It positions the Accountant as a strategic asset within Wellington’s unique economic ecosystem, offering actionable insights that will resonate across New Zealand’s professional landscape while meeting rigorous academic standards.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Accountant in New Zealand Wellington</dc:title>
  <dc:creator/>
  <dc:language>en</dc:language>
  <cp:keywords/>
  <dcterms:created xsi:type="dcterms:W3CDTF">2026-07-23T23:15:18Z</dcterms:created>
  <dcterms:modified xsi:type="dcterms:W3CDTF">2026-07-23T23:15:18Z</dcterms:modified>
</cp:coreProperties>
</file>

<file path=docProps/custom.xml><?xml version="1.0" encoding="utf-8"?>
<Properties xmlns="http://schemas.openxmlformats.org/officeDocument/2006/custom-properties" xmlns:vt="http://schemas.openxmlformats.org/officeDocument/2006/docPropsVTypes"/>
</file>