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0" w:name="Xc6da7cbbb11ed6db356f16cee6ac9c5b8fdff6a"/>
    <w:p>
      <w:pPr>
        <w:pStyle w:val="Heading1"/>
      </w:pPr>
      <w:r>
        <w:t xml:space="preserve">Thesis Proposal: The Evolving Role of the Accountant in Qatar Doha's Strategic Economic Landscape</w:t>
      </w:r>
    </w:p>
    <w:bookmarkStart w:id="20" w:name="introduction-and-background"/>
    <w:p>
      <w:pPr>
        <w:pStyle w:val="Heading2"/>
      </w:pPr>
      <w:r>
        <w:t xml:space="preserve">1. Introduction and Background</w:t>
      </w:r>
    </w:p>
    <w:p>
      <w:pPr>
        <w:pStyle w:val="FirstParagraph"/>
      </w:pPr>
      <w:r>
        <w:t xml:space="preserve">The State of Qatar, particularly its capital Doha, has undergone unprecedented economic transformation driven by Vision 2030 and preparations for global events like the FIFA World Cup 2022. This rapid development places immense strategic importance on financial stewardship within a complex regulatory environment that blends international standards with local Qatari governance frameworks. As Qatar diversifies beyond hydrocarbons into sectors like finance, real estate, tourism, and renewable energy, the professional</w:t>
      </w:r>
      <w:r>
        <w:t xml:space="preserve"> </w:t>
      </w:r>
      <w:r>
        <w:rPr>
          <w:iCs/>
          <w:i/>
        </w:rPr>
        <w:t xml:space="preserve">Accountant</w:t>
      </w:r>
      <w:r>
        <w:t xml:space="preserve"> </w:t>
      </w:r>
      <w:r>
        <w:t xml:space="preserve">has emerged as a pivotal figure in ensuring sustainable economic growth. However, the evolving demands on this profession within</w:t>
      </w:r>
      <w:r>
        <w:t xml:space="preserve"> </w:t>
      </w:r>
      <w:r>
        <w:rPr>
          <w:bCs/>
          <w:b/>
        </w:rPr>
        <w:t xml:space="preserve">Qatar Doha</w:t>
      </w:r>
      <w:r>
        <w:t xml:space="preserve">'s unique socio-economic context remain inadequately researched. This Thesis Proposal addresses this critical gap by investigating how Accountants navigate regulatory complexity, ethical challenges, and technological disruption while supporting national development goals.</w:t>
      </w:r>
    </w:p>
    <w:bookmarkEnd w:id="20"/>
    <w:bookmarkStart w:id="21" w:name="problem-statement"/>
    <w:p>
      <w:pPr>
        <w:pStyle w:val="Heading2"/>
      </w:pPr>
      <w:r>
        <w:t xml:space="preserve">2. Problem Statement</w:t>
      </w:r>
    </w:p>
    <w:p>
      <w:pPr>
        <w:pStyle w:val="FirstParagraph"/>
      </w:pPr>
      <w:r>
        <w:t xml:space="preserve">Despite Qatar's significant economic growth trajectory, current literature lacks comprehensive analysis of the Accountant's operational realities in Doha. Existing studies focus on macroeconomic policies or generic accounting standards without addressing: (a) how Accountants reconcile International Financial Reporting Standards (IFRS) with Qatar Financial Centre Regulatory Authority (QFRA) requirements; (b) the impact of digital transformation on accounting practices within Qatar's predominantly expatriate workforce; and (c) ethical dilemmas arising from high-stakes infrastructure projects. Without understanding these dynamics, educational institutions may fail to produce Accountants equipped for Doha's specific challenges, potentially undermining financial transparency during Qatar's strategic diversification phase.</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navigation strategies employed by Accountants in Doha across public and private sectors.</w:t>
      </w:r>
    </w:p>
    <w:p>
      <w:pPr>
        <w:numPr>
          <w:ilvl w:val="0"/>
          <w:numId w:val="1001"/>
        </w:numPr>
        <w:pStyle w:val="Compact"/>
      </w:pPr>
      <w:r>
        <w:t xml:space="preserve">To assess the impact of digital accounting tools (AI, blockchain) on professional workflows in Qatar's evolving business ecosystem.</w:t>
      </w:r>
    </w:p>
    <w:p>
      <w:pPr>
        <w:numPr>
          <w:ilvl w:val="0"/>
          <w:numId w:val="1001"/>
        </w:numPr>
        <w:pStyle w:val="Compact"/>
      </w:pPr>
      <w:r>
        <w:t xml:space="preserve">To evaluate ethical decision-making frameworks used by Accountants when balancing client interests with national economic priorities.</w:t>
      </w:r>
    </w:p>
    <w:p>
      <w:pPr>
        <w:numPr>
          <w:ilvl w:val="0"/>
          <w:numId w:val="1001"/>
        </w:numPr>
        <w:pStyle w:val="Compact"/>
      </w:pPr>
      <w:r>
        <w:t xml:space="preserve">To develop a competency framework for Accountants aligned with Qatar Vision 2030 and Doha's sustainability goals.</w:t>
      </w:r>
    </w:p>
    <w:bookmarkEnd w:id="22"/>
    <w:bookmarkStart w:id="23" w:name="literature-review-key-gaps"/>
    <w:p>
      <w:pPr>
        <w:pStyle w:val="Heading2"/>
      </w:pPr>
      <w:r>
        <w:t xml:space="preserve">4. Literature Review (Key Gaps)</w:t>
      </w:r>
    </w:p>
    <w:p>
      <w:pPr>
        <w:pStyle w:val="FirstParagraph"/>
      </w:pPr>
      <w:r>
        <w:t xml:space="preserve">While global accounting literature discusses technological disruption (e.g., Chen et al., 2021), studies on Gulf Cooperation Council (GCC) contexts remain sparse. Research by Al-Maadeed &amp; Al-Suwaidi (2019) examined IFRS adoption in Dubai but ignored Qatar's distinct regulatory path. Recent studies on expatriate professional challenges in Doha (Al-Khater, 2022) focused on HR issues rather than technical accounting practice. Crucially, no research has investigated how Accountants function as strategic partners in national development initiatives like the Lusail City megaproject or Qatar National Bank's digital transformation. This Thesis Proposal directly bridges these gaps through a Doha-specific lens.</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w:t>
      </w:r>
    </w:p>
    <w:p>
      <w:pPr>
        <w:numPr>
          <w:ilvl w:val="0"/>
          <w:numId w:val="1002"/>
        </w:numPr>
        <w:pStyle w:val="Compact"/>
      </w:pPr>
      <w:r>
        <w:rPr>
          <w:bCs/>
          <w:b/>
        </w:rPr>
        <w:t xml:space="preserve">Structured Surveys:</w:t>
      </w:r>
      <w:r>
        <w:t xml:space="preserve"> </w:t>
      </w:r>
      <w:r>
        <w:t xml:space="preserve">Targeting 150+ Accountants across Doha's financial hubs (Qatar Financial Centre, Doha Industrial City, and major multinational subsidiaries) to quantify regulatory challenges and technology adoption rates.</w:t>
      </w:r>
    </w:p>
    <w:p>
      <w:pPr>
        <w:numPr>
          <w:ilvl w:val="0"/>
          <w:numId w:val="1002"/>
        </w:numPr>
        <w:pStyle w:val="Compact"/>
      </w:pPr>
      <w:r>
        <w:rPr>
          <w:bCs/>
          <w:b/>
        </w:rPr>
        <w:t xml:space="preserve">Semi-Structured Interviews:</w:t>
      </w:r>
      <w:r>
        <w:t xml:space="preserve"> </w:t>
      </w:r>
      <w:r>
        <w:t xml:space="preserve">Conducting 30 in-depth interviews with senior Accountants at Qatar Central Bank, QFRA, Big Four firms in Doha (KPMG, PwC), and local accounting bodies to explore ethical decision-making frameworks.</w:t>
      </w:r>
    </w:p>
    <w:p>
      <w:pPr>
        <w:numPr>
          <w:ilvl w:val="0"/>
          <w:numId w:val="1002"/>
        </w:numPr>
        <w:pStyle w:val="Compact"/>
      </w:pPr>
      <w:r>
        <w:rPr>
          <w:bCs/>
          <w:b/>
        </w:rPr>
        <w:t xml:space="preserve">Case Analysis:</w:t>
      </w:r>
      <w:r>
        <w:t xml:space="preserve"> </w:t>
      </w:r>
      <w:r>
        <w:t xml:space="preserve">Comparative study of three high-impact projects (e.g., Hamad International Airport expansion, Msheireb Downtown Doha) examining how Accountant teams managed financial reporting complexities during rapid scaling phases.</w:t>
      </w:r>
    </w:p>
    <w:p>
      <w:pPr>
        <w:pStyle w:val="FirstParagraph"/>
      </w:pPr>
      <w:r>
        <w:t xml:space="preserve">Data will be analyzed using NVivo for thematic coding and SPSS for statistical correlation between variables like technology use and compliance efficiency. Ethical approval will be secured through Qatar University's Institutional Review Board.</w:t>
      </w:r>
    </w:p>
    <w:bookmarkEnd w:id="24"/>
    <w:bookmarkStart w:id="25" w:name="significance-to-qatar-doha"/>
    <w:p>
      <w:pPr>
        <w:pStyle w:val="Heading2"/>
      </w:pPr>
      <w:r>
        <w:t xml:space="preserve">6. Significance to Qatar Doha</w:t>
      </w:r>
    </w:p>
    <w:p>
      <w:pPr>
        <w:pStyle w:val="FirstParagraph"/>
      </w:pPr>
      <w:r>
        <w:t xml:space="preserve">This research holds strategic value for multiple stakeholders in</w:t>
      </w:r>
      <w:r>
        <w:t xml:space="preserve"> </w:t>
      </w:r>
      <w:r>
        <w:rPr>
          <w:bCs/>
          <w:b/>
        </w:rPr>
        <w:t xml:space="preserve">Qatar Doha</w:t>
      </w:r>
      <w:r>
        <w:t xml:space="preserve">:</w:t>
      </w:r>
    </w:p>
    <w:p>
      <w:pPr>
        <w:numPr>
          <w:ilvl w:val="0"/>
          <w:numId w:val="1003"/>
        </w:numPr>
        <w:pStyle w:val="Compact"/>
      </w:pPr>
      <w:r>
        <w:rPr>
          <w:bCs/>
          <w:b/>
        </w:rPr>
        <w:t xml:space="preserve">National Strategy:</w:t>
      </w:r>
      <w:r>
        <w:t xml:space="preserve"> </w:t>
      </w:r>
      <w:r>
        <w:t xml:space="preserve">Findings will directly inform the Ministry of Finance's Accountant competency development programs under Vision 2030, addressing skills gaps identified by Qatar Development Bank (2023).</w:t>
      </w:r>
    </w:p>
    <w:p>
      <w:pPr>
        <w:numPr>
          <w:ilvl w:val="0"/>
          <w:numId w:val="1003"/>
        </w:numPr>
        <w:pStyle w:val="Compact"/>
      </w:pPr>
      <w:r>
        <w:rPr>
          <w:bCs/>
          <w:b/>
        </w:rPr>
        <w:t xml:space="preserve">Professional Bodies:</w:t>
      </w:r>
      <w:r>
        <w:t xml:space="preserve"> </w:t>
      </w:r>
      <w:r>
        <w:t xml:space="preserve">The proposed competency framework will guide the Qatari Accounting and Auditing Standards Authority (QAASA) in revising certification requirements for Accountants operating within Doha's regulatory ecosystem.</w:t>
      </w:r>
    </w:p>
    <w:p>
      <w:pPr>
        <w:numPr>
          <w:ilvl w:val="0"/>
          <w:numId w:val="1003"/>
        </w:numPr>
        <w:pStyle w:val="Compact"/>
      </w:pPr>
      <w:r>
        <w:rPr>
          <w:bCs/>
          <w:b/>
        </w:rPr>
        <w:t xml:space="preserve">Economic Governance:</w:t>
      </w:r>
      <w:r>
        <w:t xml:space="preserve"> </w:t>
      </w:r>
      <w:r>
        <w:t xml:space="preserve">By mapping ethical dilemma patterns, this study supports Qatar Anti-Corruption Commission in strengthening financial oversight mechanisms critical for international investment confidence.</w:t>
      </w:r>
    </w:p>
    <w:p>
      <w:pPr>
        <w:numPr>
          <w:ilvl w:val="0"/>
          <w:numId w:val="1003"/>
        </w:numPr>
        <w:pStyle w:val="Compact"/>
      </w:pPr>
      <w:r>
        <w:rPr>
          <w:bCs/>
          <w:b/>
        </w:rPr>
        <w:t xml:space="preserve">Academic Contribution:</w:t>
      </w:r>
      <w:r>
        <w:t xml:space="preserve"> </w:t>
      </w:r>
      <w:r>
        <w:t xml:space="preserve">Establishes the first comprehensive database on Accountant practice in a GCC capital city, filling a critical research void for future scholars studying emerging economies.</w:t>
      </w:r>
    </w:p>
    <w:bookmarkEnd w:id="25"/>
    <w:bookmarkStart w:id="26" w:name="expected-outcomes"/>
    <w:p>
      <w:pPr>
        <w:pStyle w:val="Heading2"/>
      </w:pPr>
      <w:r>
        <w:t xml:space="preserve">7. Expected Outcomes</w:t>
      </w:r>
    </w:p>
    <w:p>
      <w:pPr>
        <w:pStyle w:val="FirstParagraph"/>
      </w:pPr>
      <w:r>
        <w:t xml:space="preserve">This Thesis Proposal anticipates delivering four key contributions to</w:t>
      </w:r>
      <w:r>
        <w:t xml:space="preserve"> </w:t>
      </w:r>
      <w:r>
        <w:rPr>
          <w:iCs/>
          <w:i/>
        </w:rPr>
        <w:t xml:space="preserve">Qatar Doha</w:t>
      </w:r>
      <w:r>
        <w:t xml:space="preserve">'s professional landscape:</w:t>
      </w:r>
    </w:p>
    <w:p>
      <w:pPr>
        <w:numPr>
          <w:ilvl w:val="0"/>
          <w:numId w:val="1004"/>
        </w:numPr>
        <w:pStyle w:val="Compact"/>
      </w:pPr>
      <w:r>
        <w:t xml:space="preserve">An evidence-based model for Accountant regulatory navigation, reducing compliance costs for businesses operating in Doha's dual-standard environment.</w:t>
      </w:r>
    </w:p>
    <w:p>
      <w:pPr>
        <w:numPr>
          <w:ilvl w:val="0"/>
          <w:numId w:val="1004"/>
        </w:numPr>
        <w:pStyle w:val="Compact"/>
      </w:pPr>
      <w:r>
        <w:t xml:space="preserve">A technology adoption roadmap tailored to Qatar's accounting sector, identifying priority areas like AI-driven fraud detection relevant to the country's anti-money laundering objectives.</w:t>
      </w:r>
    </w:p>
    <w:p>
      <w:pPr>
        <w:numPr>
          <w:ilvl w:val="0"/>
          <w:numId w:val="1004"/>
        </w:numPr>
        <w:pStyle w:val="Compact"/>
      </w:pPr>
      <w:r>
        <w:t xml:space="preserve">Validation of ethical scenarios where Accountants act as guardians of national interests during foreign investment projects in Doha.</w:t>
      </w:r>
    </w:p>
    <w:p>
      <w:pPr>
        <w:numPr>
          <w:ilvl w:val="0"/>
          <w:numId w:val="1004"/>
        </w:numPr>
        <w:pStyle w:val="Compact"/>
      </w:pPr>
      <w:r>
        <w:t xml:space="preserve">A standardized competency framework for Accountants that integrates Vision 2030 sustainability metrics (e.g., ESG reporting) into professional development pathways.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Critique of existing frameworks; Methodology Finalization Report</w:t>
            </w:r>
          </w:p>
        </w:tc>
      </w:tr>
      <w:tr>
        <w:tc>
          <w:tcPr/>
          <w:p>
            <w:pPr>
              <w:pStyle w:val="Compact"/>
              <w:jc w:val="left"/>
            </w:pPr>
            <w:r>
              <w:t xml:space="preserve">Data Collection (Surveys &amp; Interviews)</w:t>
            </w:r>
          </w:p>
        </w:tc>
        <w:tc>
          <w:tcPr/>
          <w:p>
            <w:pPr>
              <w:pStyle w:val="Compact"/>
              <w:jc w:val="left"/>
            </w:pPr>
            <w:r>
              <w:t xml:space="preserve">4-7</w:t>
            </w:r>
          </w:p>
        </w:tc>
        <w:tc>
          <w:tcPr/>
          <w:p>
            <w:pPr>
              <w:pStyle w:val="Compact"/>
              <w:jc w:val="left"/>
            </w:pPr>
            <w:r>
              <w:t xml:space="preserve">Survey Dataset; Interview Transcripts; Case Study Files</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Draft Competency Model; Regulatory Navigation Matrix</w:t>
            </w:r>
          </w:p>
        </w:tc>
      </w:tr>
      <w:tr>
        <w:tc>
          <w:tcPr/>
          <w:p>
            <w:pPr>
              <w:pStyle w:val="Compact"/>
              <w:jc w:val="left"/>
            </w:pPr>
            <w:r>
              <w:t xml:space="preserve">Dissemination &amp; Final Thesis</w:t>
            </w:r>
          </w:p>
        </w:tc>
        <w:tc>
          <w:tcPr/>
          <w:p>
            <w:pPr>
              <w:pStyle w:val="Compact"/>
              <w:jc w:val="left"/>
            </w:pPr>
            <w:r>
              <w:t xml:space="preserve">11-12</w:t>
            </w:r>
          </w:p>
        </w:tc>
        <w:tc>
          <w:tcPr/>
          <w:p>
            <w:pPr>
              <w:pStyle w:val="Compact"/>
              <w:jc w:val="left"/>
            </w:pPr>
            <w:r>
              <w:t xml:space="preserve">Thesis Submission; Policy Brief for QAASA</w:t>
            </w:r>
          </w:p>
        </w:tc>
      </w:tr>
    </w:tbl>
    <w:bookmarkEnd w:id="27"/>
    <w:bookmarkStart w:id="28" w:name="X7558004f8d2412c41e02ddf4de096d35ba6ab56"/>
    <w:p>
      <w:pPr>
        <w:pStyle w:val="Heading2"/>
      </w:pPr>
      <w:r>
        <w:t xml:space="preserve">9. Conclusion: The Accountant as Strategic Partner in Qatar Doha's Future</w:t>
      </w:r>
    </w:p>
    <w:p>
      <w:pPr>
        <w:pStyle w:val="FirstParagraph"/>
      </w:pPr>
      <w:r>
        <w:t xml:space="preserve">The transformation of Qatar Doha from a resource-driven economy to a knowledge-based hub places extraordinary demands on the accounting profession. This Thesis Proposal argues that Accountants must evolve beyond compliance roles into strategic financial architects who understand national vision, local culture, and global standards. By examining their daily practice through the lens of Doha's unique development challenges—from managing multi-billion-dollar infrastructure projects to implementing sustainable finance protocols—this research will provide actionable insights for building a resilient accounting profession aligned with Qatar's long-term prosperity. The outcomes will empower Accountants to become indispensable catalysts for transparent, ethical, and innovative financial management within</w:t>
      </w:r>
      <w:r>
        <w:t xml:space="preserve"> </w:t>
      </w:r>
      <w:r>
        <w:rPr>
          <w:bCs/>
          <w:b/>
        </w:rPr>
        <w:t xml:space="preserve">Qatar Doha</w:t>
      </w:r>
      <w:r>
        <w:t xml:space="preserve">'s dynamic economic ecosystem. Ultimately, this Thesis Proposal seeks not merely to document the current state of Accountant practice but to shape its future trajectory in service of national development goals.</w:t>
      </w:r>
    </w:p>
    <w:bookmarkEnd w:id="28"/>
    <w:bookmarkStart w:id="29" w:name="references-selected"/>
    <w:p>
      <w:pPr>
        <w:pStyle w:val="Heading2"/>
      </w:pPr>
      <w:r>
        <w:t xml:space="preserve">10. References (Selected)</w:t>
      </w:r>
    </w:p>
    <w:p>
      <w:pPr>
        <w:numPr>
          <w:ilvl w:val="0"/>
          <w:numId w:val="1005"/>
        </w:numPr>
        <w:pStyle w:val="Compact"/>
      </w:pPr>
      <w:r>
        <w:t xml:space="preserve">Al-Khater, H. (2022). *Professional Integration Challenges for Expatriate Accountants in Doha*. Gulf Journal of Accounting Research, 15(3), 45-67.</w:t>
      </w:r>
    </w:p>
    <w:p>
      <w:pPr>
        <w:numPr>
          <w:ilvl w:val="0"/>
          <w:numId w:val="1005"/>
        </w:numPr>
        <w:pStyle w:val="Compact"/>
      </w:pPr>
      <w:r>
        <w:t xml:space="preserve">Qatar Development Bank. (2023). *Economic Diversification Workforce Report*. Doha: Ministry of Economy and Finance.</w:t>
      </w:r>
    </w:p>
    <w:p>
      <w:pPr>
        <w:numPr>
          <w:ilvl w:val="0"/>
          <w:numId w:val="1005"/>
        </w:numPr>
        <w:pStyle w:val="Compact"/>
      </w:pPr>
      <w:r>
        <w:t xml:space="preserve">Al-Maadeed, S., &amp; Al-Suwaidi, A. (2019). IFRS Adoption in GCC: Dubai as a Case Study. *Accounting in Emerging Economies*, 12(4), 301-325.</w:t>
      </w:r>
    </w:p>
    <w:p>
      <w:pPr>
        <w:numPr>
          <w:ilvl w:val="0"/>
          <w:numId w:val="1005"/>
        </w:numPr>
        <w:pStyle w:val="Compact"/>
      </w:pPr>
      <w:r>
        <w:t xml:space="preserve">Qatar Central Bank. (2021). *Financial Stability Report: Regulatory Challenges in Doha's Banking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Accountants in Qatar Doha's Economic Transformation</dc:title>
  <dc:creator/>
  <dc:language>en</dc:language>
  <cp:keywords/>
  <dcterms:created xsi:type="dcterms:W3CDTF">2026-04-30T16:40:46Z</dcterms:created>
  <dcterms:modified xsi:type="dcterms:W3CDTF">2026-04-30T16:40:46Z</dcterms:modified>
</cp:coreProperties>
</file>

<file path=docProps/custom.xml><?xml version="1.0" encoding="utf-8"?>
<Properties xmlns="http://schemas.openxmlformats.org/officeDocument/2006/custom-properties" xmlns:vt="http://schemas.openxmlformats.org/officeDocument/2006/docPropsVTypes"/>
</file>