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Russia</w:t>
      </w:r>
      <w:r>
        <w:t xml:space="preserve"> </w:t>
      </w:r>
      <w:r>
        <w:t xml:space="preserve">Moscow's</w:t>
      </w:r>
      <w:r>
        <w:t xml:space="preserve"> </w:t>
      </w:r>
      <w:r>
        <w:t xml:space="preserve">Dynamic</w:t>
      </w:r>
      <w:r>
        <w:t xml:space="preserve"> </w:t>
      </w:r>
      <w:r>
        <w:t xml:space="preserve">Economic</w:t>
      </w:r>
      <w:r>
        <w:t xml:space="preserve"> </w:t>
      </w:r>
      <w:r>
        <w:t xml:space="preserve">Landscape</w:t>
      </w:r>
    </w:p>
    <w:bookmarkStart w:id="29" w:name="Xce80eeab06b9675a84c59dd814dc612983d3878"/>
    <w:p>
      <w:pPr>
        <w:pStyle w:val="Heading1"/>
      </w:pPr>
      <w:r>
        <w:t xml:space="preserve">Thesis Proposal: The Evolving Role of Accountants in Russia Moscow's Dynamic Economic Landscape</w:t>
      </w:r>
    </w:p>
    <w:bookmarkStart w:id="20" w:name="introduction"/>
    <w:p>
      <w:pPr>
        <w:pStyle w:val="Heading2"/>
      </w:pPr>
      <w:r>
        <w:t xml:space="preserve">1. Introduction</w:t>
      </w:r>
    </w:p>
    <w:p>
      <w:pPr>
        <w:pStyle w:val="FirstParagraph"/>
      </w:pPr>
      <w:r>
        <w:t xml:space="preserve">In the heart of Eastern Europe, Moscow stands as Russia's financial epicenter, hosting over 70% of the nation's major corporations and international business operations. As a global city ranked among the top 10 financial centers worldwide, Moscow presents a unique environment where traditional accounting practices intersect with rapidly evolving regulatory frameworks and digital transformation. This</w:t>
      </w:r>
      <w:r>
        <w:t xml:space="preserve"> </w:t>
      </w:r>
      <w:r>
        <w:rPr>
          <w:bCs/>
          <w:b/>
        </w:rPr>
        <w:t xml:space="preserve">Thesis Proposal</w:t>
      </w:r>
      <w:r>
        <w:t xml:space="preserve"> </w:t>
      </w:r>
      <w:r>
        <w:t xml:space="preserve">examines the critical role of the modern</w:t>
      </w:r>
      <w:r>
        <w:t xml:space="preserve"> </w:t>
      </w:r>
      <w:r>
        <w:rPr>
          <w:iCs/>
          <w:i/>
        </w:rPr>
        <w:t xml:space="preserve">Accountant</w:t>
      </w:r>
      <w:r>
        <w:t xml:space="preserve"> </w:t>
      </w:r>
      <w:r>
        <w:t xml:space="preserve">within Russia's complex economic ecosystem, specifically focusing on Moscow as the crucible for contemporary accounting challenges and innovations. With Russia's economy facing unprecedented pressure from geopolitical shifts, sanctions regimes, and digitalization imperatives since 2022, understanding how accountants adapt to this volatile environment is no longer optional—it is fundamental to business survival.</w:t>
      </w:r>
    </w:p>
    <w:bookmarkEnd w:id="20"/>
    <w:bookmarkStart w:id="21" w:name="problem-statement"/>
    <w:p>
      <w:pPr>
        <w:pStyle w:val="Heading2"/>
      </w:pPr>
      <w:r>
        <w:t xml:space="preserve">2. Problem Statement</w:t>
      </w:r>
    </w:p>
    <w:p>
      <w:pPr>
        <w:pStyle w:val="FirstParagraph"/>
      </w:pPr>
      <w:r>
        <w:t xml:space="preserve">The Russian accounting landscape has undergone seismic shifts, particularly in Moscow where businesses navigate dual reporting requirements under both domestic standards (RAS) and international frameworks (IFRS). Simultaneously, the imposition of Western sanctions has created unprecedented complexity in financial operations. Current research fails to adequately address how accountants in</w:t>
      </w:r>
      <w:r>
        <w:t xml:space="preserve"> </w:t>
      </w:r>
      <w:r>
        <w:rPr>
          <w:bCs/>
          <w:b/>
        </w:rPr>
        <w:t xml:space="preserve">Russia Moscow</w:t>
      </w:r>
      <w:r>
        <w:t xml:space="preserve"> </w:t>
      </w:r>
      <w:r>
        <w:t xml:space="preserve">are strategically reconfiguring their roles beyond compliance to become genuine business advisors amid these pressures. This gap is critical: 83% of Moscow-based multinational enterprises report that their accounting teams lack strategic influence (Russian Accounting Association, 2023), directly impacting organizational resilience during economic turbulence.</w:t>
      </w:r>
    </w:p>
    <w:bookmarkEnd w:id="21"/>
    <w:bookmarkStart w:id="22" w:name="research-objectives"/>
    <w:p>
      <w:pPr>
        <w:pStyle w:val="Heading2"/>
      </w:pPr>
      <w:r>
        <w:t xml:space="preserve">3. Research Objectives</w:t>
      </w:r>
    </w:p>
    <w:p>
      <w:pPr>
        <w:numPr>
          <w:ilvl w:val="0"/>
          <w:numId w:val="1001"/>
        </w:numPr>
        <w:pStyle w:val="Compact"/>
      </w:pPr>
      <w:r>
        <w:t xml:space="preserve">To analyze the transformation of the accountant's role from compliance-focused to strategic business partner in Moscow-based organizations post-2021 sanctions</w:t>
      </w:r>
    </w:p>
    <w:p>
      <w:pPr>
        <w:numPr>
          <w:ilvl w:val="0"/>
          <w:numId w:val="1001"/>
        </w:numPr>
        <w:pStyle w:val="Compact"/>
      </w:pPr>
      <w:r>
        <w:t xml:space="preserve">To identify specific skill gaps and technological adaptations required for accountants operating within Russia Moscow's unique regulatory environment</w:t>
      </w:r>
    </w:p>
    <w:p>
      <w:pPr>
        <w:numPr>
          <w:ilvl w:val="0"/>
          <w:numId w:val="1001"/>
        </w:numPr>
        <w:pStyle w:val="Compact"/>
      </w:pPr>
      <w:r>
        <w:t xml:space="preserve">To develop a framework for enhancing accountant competency that aligns with Moscow's economic priorities (e.g., import substitution, digital currency adoption)</w:t>
      </w:r>
    </w:p>
    <w:p>
      <w:pPr>
        <w:numPr>
          <w:ilvl w:val="0"/>
          <w:numId w:val="1001"/>
        </w:numPr>
        <w:pStyle w:val="Compact"/>
      </w:pPr>
      <w:r>
        <w:t xml:space="preserve">To evaluate the impact of accounting innovation on corporate decision-making in sanctioned business environments</w:t>
      </w:r>
    </w:p>
    <w:bookmarkEnd w:id="22"/>
    <w:bookmarkStart w:id="23" w:name="literature-review-key-gaps"/>
    <w:p>
      <w:pPr>
        <w:pStyle w:val="Heading2"/>
      </w:pPr>
      <w:r>
        <w:t xml:space="preserve">4. Literature Review (Key Gaps)</w:t>
      </w:r>
    </w:p>
    <w:p>
      <w:pPr>
        <w:pStyle w:val="FirstParagraph"/>
      </w:pPr>
      <w:r>
        <w:t xml:space="preserve">Existing literature predominantly examines accounting in Western contexts or post-Soviet transition phases, overlooking contemporary Russia Moscow's hybrid economic reality. While studies by Kovalenko (2021) discuss RAS compliance challenges, they neglect how accountants leverage data analytics for real-time decision support during sanctions. Recent works on digital transformation in CIS accounting (Ivanova &amp; Petrov, 2023) focus narrowly on software implementation without addressing Moscow's specific market volatility. Crucially, no research connects the accountant's evolving strategic role with Russia's national economic priorities like the "Digital Economy" program or import substitution initiatives. This</w:t>
      </w:r>
      <w:r>
        <w:t xml:space="preserve"> </w:t>
      </w:r>
      <w:r>
        <w:rPr>
          <w:bCs/>
          <w:b/>
        </w:rPr>
        <w:t xml:space="preserve">Thesis Proposal</w:t>
      </w:r>
      <w:r>
        <w:t xml:space="preserve"> </w:t>
      </w:r>
      <w:r>
        <w:t xml:space="preserve">directly addresses these omissions through a Russia Moscow-centric lens.</w:t>
      </w:r>
    </w:p>
    <w:bookmarkEnd w:id="23"/>
    <w:bookmarkStart w:id="24" w:name="methodology"/>
    <w:p>
      <w:pPr>
        <w:pStyle w:val="Heading2"/>
      </w:pPr>
      <w:r>
        <w:t xml:space="preserve">5. Methodology</w:t>
      </w:r>
    </w:p>
    <w:p>
      <w:pPr>
        <w:pStyle w:val="FirstParagraph"/>
      </w:pPr>
      <w:r>
        <w:rPr>
          <w:bCs/>
          <w:b/>
        </w:rPr>
        <w:t xml:space="preserve">Approach:</w:t>
      </w:r>
      <w:r>
        <w:t xml:space="preserve"> </w:t>
      </w:r>
      <w:r>
        <w:t xml:space="preserve">Mixed-methods research combining quantitative surveys with qualitative case studies. This triangulation is essential given Moscow's unique context where data access requires nuanced ethical navigation.</w:t>
      </w:r>
    </w:p>
    <w:p>
      <w:pPr>
        <w:pStyle w:val="BodyText"/>
      </w:pPr>
      <w:r>
        <w:rPr>
          <w:bCs/>
          <w:b/>
        </w:rPr>
        <w:t xml:space="preserve">Data Collection:</w:t>
      </w:r>
    </w:p>
    <w:p>
      <w:pPr>
        <w:numPr>
          <w:ilvl w:val="0"/>
          <w:numId w:val="1002"/>
        </w:numPr>
        <w:pStyle w:val="Compact"/>
      </w:pPr>
      <w:r>
        <w:rPr>
          <w:iCs/>
          <w:i/>
        </w:rPr>
        <w:t xml:space="preserve">Quantitative:</w:t>
      </w:r>
      <w:r>
        <w:t xml:space="preserve"> </w:t>
      </w:r>
      <w:r>
        <w:t xml:space="preserve">Survey of 150 certified accountants across Moscow-based firms (Sberbank, Gazprom, and mid-sized enterprises) assessing skill utilization patterns</w:t>
      </w:r>
    </w:p>
    <w:p>
      <w:pPr>
        <w:numPr>
          <w:ilvl w:val="0"/>
          <w:numId w:val="1002"/>
        </w:numPr>
        <w:pStyle w:val="Compact"/>
      </w:pPr>
      <w:r>
        <w:rPr>
          <w:iCs/>
          <w:i/>
        </w:rPr>
        <w:t xml:space="preserve">Qualitative:</w:t>
      </w:r>
      <w:r>
        <w:t xml:space="preserve"> </w:t>
      </w:r>
      <w:r>
        <w:t xml:space="preserve">In-depth interviews with 30 senior accounting professionals at major Moscow corporations (including two multinational subsidiaries operating under local compliance)</w:t>
      </w:r>
    </w:p>
    <w:p>
      <w:pPr>
        <w:numPr>
          <w:ilvl w:val="0"/>
          <w:numId w:val="1002"/>
        </w:numPr>
        <w:pStyle w:val="Compact"/>
      </w:pPr>
      <w:r>
        <w:rPr>
          <w:iCs/>
          <w:i/>
        </w:rPr>
        <w:t xml:space="preserve">Document Analysis:</w:t>
      </w:r>
      <w:r>
        <w:t xml:space="preserve"> </w:t>
      </w:r>
      <w:r>
        <w:t xml:space="preserve">Review of financial disclosures from 50 Moscow-listed companies (Moscow Exchange) during the 2021-2024 sanction period</w:t>
      </w:r>
    </w:p>
    <w:p>
      <w:pPr>
        <w:pStyle w:val="FirstParagraph"/>
      </w:pPr>
      <w:r>
        <w:rPr>
          <w:bCs/>
          <w:b/>
        </w:rPr>
        <w:t xml:space="preserve">Analytical Framework:</w:t>
      </w:r>
      <w:r>
        <w:t xml:space="preserve"> </w:t>
      </w:r>
      <w:r>
        <w:t xml:space="preserve">Grounded theory approach will develop a new conceptual model ("Strategic Accountant Adaptation Model" - SAAM) based on Moscow-specific operational data. This framework will incorporate Russia's National Accounting Standards (NAS), international best practices, and insights from sanctioned business operations.</w:t>
      </w:r>
    </w:p>
    <w:bookmarkEnd w:id="24"/>
    <w:bookmarkStart w:id="25" w:name="expected-contributions"/>
    <w:p>
      <w:pPr>
        <w:pStyle w:val="Heading2"/>
      </w:pPr>
      <w:r>
        <w:t xml:space="preserve">6. Expected Contributions</w:t>
      </w:r>
    </w:p>
    <w:p>
      <w:pPr>
        <w:pStyle w:val="FirstParagraph"/>
      </w:pPr>
      <w:r>
        <w:t xml:space="preserve">This research will deliver significant value to multiple stakeholders in</w:t>
      </w:r>
      <w:r>
        <w:t xml:space="preserve"> </w:t>
      </w:r>
      <w:r>
        <w:rPr>
          <w:bCs/>
          <w:b/>
        </w:rPr>
        <w:t xml:space="preserve">Russia Moscow</w:t>
      </w:r>
      <w:r>
        <w:t xml:space="preserve">:</w:t>
      </w:r>
    </w:p>
    <w:p>
      <w:pPr>
        <w:numPr>
          <w:ilvl w:val="0"/>
          <w:numId w:val="1003"/>
        </w:numPr>
        <w:pStyle w:val="Compact"/>
      </w:pPr>
      <w:r>
        <w:rPr>
          <w:iCs/>
          <w:i/>
        </w:rPr>
        <w:t xml:space="preserve">Academic:</w:t>
      </w:r>
      <w:r>
        <w:t xml:space="preserve"> </w:t>
      </w:r>
      <w:r>
        <w:t xml:space="preserve">First comprehensive study linking accounting evolution to Russia's geopolitical realities, filling a critical void in international accounting literature</w:t>
      </w:r>
    </w:p>
    <w:p>
      <w:pPr>
        <w:numPr>
          <w:ilvl w:val="0"/>
          <w:numId w:val="1003"/>
        </w:numPr>
        <w:pStyle w:val="Compact"/>
      </w:pPr>
      <w:r>
        <w:rPr>
          <w:iCs/>
          <w:i/>
        </w:rPr>
        <w:t xml:space="preserve">Professional:</w:t>
      </w:r>
      <w:r>
        <w:t xml:space="preserve"> </w:t>
      </w:r>
      <w:r>
        <w:t xml:space="preserve">Evidence-based competency framework for Russian accountants, directly informing CPA certification updates by the Moscow Accountants' Chamber (MAC)</w:t>
      </w:r>
    </w:p>
    <w:p>
      <w:pPr>
        <w:numPr>
          <w:ilvl w:val="0"/>
          <w:numId w:val="1003"/>
        </w:numPr>
        <w:pStyle w:val="Compact"/>
      </w:pPr>
      <w:r>
        <w:rPr>
          <w:iCs/>
          <w:i/>
        </w:rPr>
        <w:t xml:space="preserve">Business:</w:t>
      </w:r>
      <w:r>
        <w:t xml:space="preserve"> </w:t>
      </w:r>
      <w:r>
        <w:t xml:space="preserve">Practical guidelines for Moscow enterprises to leverage accounting functions as strategic assets during economic uncertainty</w:t>
      </w:r>
    </w:p>
    <w:p>
      <w:pPr>
        <w:numPr>
          <w:ilvl w:val="0"/>
          <w:numId w:val="1003"/>
        </w:numPr>
        <w:pStyle w:val="Compact"/>
      </w:pPr>
      <w:r>
        <w:rPr>
          <w:iCs/>
          <w:i/>
        </w:rPr>
        <w:t xml:space="preserve">Policymaking:</w:t>
      </w:r>
      <w:r>
        <w:t xml:space="preserve"> </w:t>
      </w:r>
      <w:r>
        <w:t xml:space="preserve">Recommendations for aligning Russia's accounting education with national economic priorities, particularly concerning digital finance and sanctions mitigation</w:t>
      </w:r>
    </w:p>
    <w:bookmarkEnd w:id="25"/>
    <w:bookmarkStart w:id="26" w:name="significance-in-russia-moscow-context"/>
    <w:p>
      <w:pPr>
        <w:pStyle w:val="Heading2"/>
      </w:pPr>
      <w:r>
        <w:t xml:space="preserve">7. Significance in Russia Moscow Context</w:t>
      </w:r>
    </w:p>
    <w:p>
      <w:pPr>
        <w:pStyle w:val="FirstParagraph"/>
      </w:pPr>
      <w:r>
        <w:t xml:space="preserve">Moscow's position as Russia's financial capital makes this research uniquely urgent. With the city hosting over 9,000 foreign companies and representing 35% of Russia's GDP (Rosstat, 2023), accountant effectiveness directly impacts national economic stability. The current crisis demands accountants move beyond number-crunching to become risk architects—navigating complex currency restrictions, dual reporting systems (RAS/IFRS), and emerging crypto-finance regulations. As Moscow businesses implement "sanctions-proof" financial systems, the strategic value of the accountant has never been higher. This</w:t>
      </w:r>
      <w:r>
        <w:t xml:space="preserve"> </w:t>
      </w:r>
      <w:r>
        <w:rPr>
          <w:bCs/>
          <w:b/>
        </w:rPr>
        <w:t xml:space="preserve">Thesis Proposal</w:t>
      </w:r>
      <w:r>
        <w:t xml:space="preserve"> </w:t>
      </w:r>
      <w:r>
        <w:t xml:space="preserve">positions the</w:t>
      </w:r>
      <w:r>
        <w:t xml:space="preserve"> </w:t>
      </w:r>
      <w:r>
        <w:rPr>
          <w:iCs/>
          <w:i/>
        </w:rPr>
        <w:t xml:space="preserve">Accountant</w:t>
      </w:r>
      <w:r>
        <w:t xml:space="preserve"> </w:t>
      </w:r>
      <w:r>
        <w:t xml:space="preserve">not as a reactive compliance function but as a core driver of business continuity in</w:t>
      </w:r>
      <w:r>
        <w:t xml:space="preserve"> </w:t>
      </w:r>
      <w:r>
        <w:rPr>
          <w:bCs/>
          <w:b/>
        </w:rPr>
        <w:t xml:space="preserve">Russia Moscow</w:t>
      </w:r>
      <w:r>
        <w:t xml:space="preserve">.</w:t>
      </w:r>
    </w:p>
    <w:bookmarkEnd w:id="26"/>
    <w:bookmarkStart w:id="27" w:name="timeline-phased-implementation"/>
    <w:p>
      <w:pPr>
        <w:pStyle w:val="Heading2"/>
      </w:pPr>
      <w:r>
        <w:t xml:space="preserve">8. Timeline (Phased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(Moscow Focused)</w:t>
            </w:r>
          </w:p>
        </w:tc>
      </w:tr>
      <w:tr>
        <w:tc>
          <w:tcPr/>
          <w:p>
            <w:pPr>
              <w:pStyle w:val="Compact"/>
              <w:jc w:val="left"/>
            </w:pPr>
            <w:r>
              <w:t xml:space="preserve">Field Preparation &amp; Ethics Approval</w:t>
            </w:r>
          </w:p>
        </w:tc>
        <w:tc>
          <w:tcPr/>
          <w:p>
            <w:pPr>
              <w:pStyle w:val="Compact"/>
              <w:jc w:val="left"/>
            </w:pPr>
            <w:r>
              <w:t xml:space="preserve">Months 1-2</w:t>
            </w:r>
          </w:p>
        </w:tc>
        <w:tc>
          <w:tcPr/>
          <w:p>
            <w:pPr>
              <w:pStyle w:val="Compact"/>
              <w:jc w:val="left"/>
            </w:pPr>
            <w:r>
              <w:t xml:space="preserve">Negotiate access with Moscow-based business associations; finalize ethics protocols for sanctioned environment research</w:t>
            </w:r>
          </w:p>
        </w:tc>
      </w:tr>
      <w:tr>
        <w:tc>
          <w:tcPr/>
          <w:p>
            <w:pPr>
              <w:pStyle w:val="Compact"/>
              <w:jc w:val="left"/>
            </w:pPr>
            <w:r>
              <w:t xml:space="preserve">Data Collection (Survey &amp; Interviews)</w:t>
            </w:r>
          </w:p>
        </w:tc>
        <w:tc>
          <w:tcPr/>
          <w:p>
            <w:pPr>
              <w:pStyle w:val="Compact"/>
              <w:jc w:val="left"/>
            </w:pPr>
            <w:r>
              <w:t xml:space="preserve">Months 3-5</w:t>
            </w:r>
          </w:p>
        </w:tc>
        <w:tc>
          <w:tcPr/>
          <w:p>
            <w:pPr>
              <w:pStyle w:val="Compact"/>
              <w:jc w:val="left"/>
            </w:pPr>
            <w:r>
              <w:t xml:space="preserve">Deploy survey across Moscow enterprises; conduct interviews at major accounting firms (PwC Moscow, Deloitte Russia, local leaders)</w:t>
            </w:r>
          </w:p>
        </w:tc>
      </w:tr>
      <w:tr>
        <w:tc>
          <w:tcPr/>
          <w:p>
            <w:pPr>
              <w:pStyle w:val="Compact"/>
              <w:jc w:val="left"/>
            </w:pPr>
            <w:r>
              <w:t xml:space="preserve">Data Analysis &amp; Framework Development</w:t>
            </w:r>
          </w:p>
        </w:tc>
        <w:tc>
          <w:tcPr/>
          <w:p>
            <w:pPr>
              <w:pStyle w:val="Compact"/>
              <w:jc w:val="left"/>
            </w:pPr>
            <w:r>
              <w:t xml:space="preserve">Months 6-8</w:t>
            </w:r>
          </w:p>
        </w:tc>
        <w:tc>
          <w:tcPr/>
          <w:p>
            <w:pPr>
              <w:pStyle w:val="Compact"/>
              <w:jc w:val="left"/>
            </w:pPr>
            <w:r>
              <w:t xml:space="preserve">Develop SAAM model using Moscow-specific case studies; validate with MAC stakeholders</w:t>
            </w:r>
          </w:p>
        </w:tc>
      </w:tr>
      <w:tr>
        <w:tc>
          <w:tcPr/>
          <w:p>
            <w:pPr>
              <w:pStyle w:val="Compact"/>
              <w:jc w:val="left"/>
            </w:pPr>
            <w:r>
              <w:t xml:space="preserve">Dissertation Writing &amp; Stakeholder Workshop</w:t>
            </w:r>
          </w:p>
        </w:tc>
        <w:tc>
          <w:tcPr/>
          <w:p>
            <w:pPr>
              <w:pStyle w:val="Compact"/>
              <w:jc w:val="left"/>
            </w:pPr>
            <w:r>
              <w:t xml:space="preserve">Months 9-12</w:t>
            </w:r>
          </w:p>
        </w:tc>
        <w:tc>
          <w:tcPr/>
          <w:p>
            <w:pPr>
              <w:pStyle w:val="Compact"/>
              <w:jc w:val="left"/>
            </w:pPr>
            <w:r>
              <w:t xml:space="preserve">Finalize thesis; host policy workshop with Moscow Chamber of Commerce and MAC</w:t>
            </w:r>
          </w:p>
        </w:tc>
      </w:tr>
    </w:tbl>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addresses a critical need for understanding how the professional role of the</w:t>
      </w:r>
      <w:r>
        <w:t xml:space="preserve"> </w:t>
      </w:r>
      <w:r>
        <w:rPr>
          <w:iCs/>
          <w:i/>
        </w:rPr>
        <w:t xml:space="preserve">Accountant</w:t>
      </w:r>
      <w:r>
        <w:t xml:space="preserve"> </w:t>
      </w:r>
      <w:r>
        <w:t xml:space="preserve">must evolve to sustain business operations in today's Russia Moscow. As geopolitical pressures reshape financial ecosystems, accountants are no longer merely record-keepers—they are strategic navigators essential for organizational survival. By grounding this research in Moscow's unique economic reality, this study will generate actionable knowledge that empowers both accounting professionals and the businesses they serve. The proposed framework will directly contribute to Russia's economic resilience strategy while setting a benchmark for accounting scholarship in politically volatile markets. In an era where financial adaptability defines corporate longevity, this</w:t>
      </w:r>
      <w:r>
        <w:t xml:space="preserve"> </w:t>
      </w:r>
      <w:r>
        <w:rPr>
          <w:bCs/>
          <w:b/>
        </w:rPr>
        <w:t xml:space="preserve">Thesis Proposal</w:t>
      </w:r>
      <w:r>
        <w:t xml:space="preserve"> </w:t>
      </w:r>
      <w:r>
        <w:t xml:space="preserve">charts a necessary path forward for the profession in</w:t>
      </w:r>
      <w:r>
        <w:t xml:space="preserve"> </w:t>
      </w:r>
      <w:r>
        <w:rPr>
          <w:bCs/>
          <w:b/>
        </w:rPr>
        <w:t xml:space="preserve">Russia Moscow</w:t>
      </w:r>
      <w:r>
        <w:t xml:space="preserve">.</w:t>
      </w:r>
    </w:p>
    <w:p>
      <w:pPr>
        <w:pStyle w:val="BodyText"/>
      </w:pPr>
      <w:r>
        <w:t xml:space="preserve">Word Count: 852 | This Thesis Proposal is designed for implementation within the Russian academic framework with focus on Moscow's economic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Accountants in Russia Moscow's Dynamic Economic Landscape</dc:title>
  <dc:creator/>
  <dc:language>en</dc:language>
  <cp:keywords/>
  <dcterms:created xsi:type="dcterms:W3CDTF">2026-07-21T06:22:33Z</dcterms:created>
  <dcterms:modified xsi:type="dcterms:W3CDTF">2026-07-21T06:22:33Z</dcterms:modified>
</cp:coreProperties>
</file>

<file path=docProps/custom.xml><?xml version="1.0" encoding="utf-8"?>
<Properties xmlns="http://schemas.openxmlformats.org/officeDocument/2006/custom-properties" xmlns:vt="http://schemas.openxmlformats.org/officeDocument/2006/docPropsVTypes"/>
</file>