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Economic</w:t>
      </w:r>
      <w:r>
        <w:t xml:space="preserve"> </w:t>
      </w:r>
      <w:r>
        <w:t xml:space="preserve">Transformation</w:t>
      </w:r>
    </w:p>
    <w:bookmarkStart w:id="28" w:name="X265c122d27b4cd6615b2a9749a93ed56087a958"/>
    <w:p>
      <w:pPr>
        <w:pStyle w:val="Heading1"/>
      </w:pPr>
      <w:r>
        <w:t xml:space="preserve">Thesis Proposal: The Evolving Role of Accountant in Saudi Arabia Riyadh's Economic Transformation under Vision 2030</w:t>
      </w:r>
    </w:p>
    <w:bookmarkStart w:id="20" w:name="introduction-and-background"/>
    <w:p>
      <w:pPr>
        <w:pStyle w:val="Heading2"/>
      </w:pPr>
      <w:r>
        <w:t xml:space="preserve">1. Introduction and Background</w:t>
      </w:r>
    </w:p>
    <w:p>
      <w:pPr>
        <w:pStyle w:val="FirstParagraph"/>
      </w:pPr>
      <w:r>
        <w:t xml:space="preserve">The Kingdom of Saudi Arabia, through its ambitious Vision 2030 initiative, is undergoing unprecedented economic diversification away from oil dependency. As the capital city Riyadh emerges as the central hub for this transformation, the role of the professional</w:t>
      </w:r>
      <w:r>
        <w:t xml:space="preserve"> </w:t>
      </w:r>
      <w:r>
        <w:rPr>
          <w:bCs/>
          <w:b/>
        </w:rPr>
        <w:t xml:space="preserve">Accountant</w:t>
      </w:r>
      <w:r>
        <w:t xml:space="preserve"> </w:t>
      </w:r>
      <w:r>
        <w:t xml:space="preserve">has evolved from mere financial record-keeping to strategic business partnership. This thesis proposes an in-depth investigation into how modern accounting practices are adapting to Riyadh's rapidly changing economic landscape, where sectors like tourism, technology, and entertainment are driving growth. The research addresses a critical gap: while numerous studies exist on Saudi Arabia's macroeconomic policies, few examine the micro-level professional transformation of the</w:t>
      </w:r>
      <w:r>
        <w:t xml:space="preserve"> </w:t>
      </w:r>
      <w:r>
        <w:rPr>
          <w:bCs/>
          <w:b/>
        </w:rPr>
        <w:t xml:space="preserve">Accountant</w:t>
      </w:r>
      <w:r>
        <w:t xml:space="preserve"> </w:t>
      </w:r>
      <w:r>
        <w:t xml:space="preserve">within Riyadh's business ecosystem. As Saudi Arabia accelerates its path toward becoming a global investment destination, understanding how accountants navigate regulatory shifts (such as VAT implementation and unified accounting standards), technological disruption (AI and blockchain adoption), and cultural expectations is paramount for sustainable economic development.</w:t>
      </w:r>
    </w:p>
    <w:bookmarkEnd w:id="20"/>
    <w:bookmarkStart w:id="21" w:name="problem-statement"/>
    <w:p>
      <w:pPr>
        <w:pStyle w:val="Heading2"/>
      </w:pPr>
      <w:r>
        <w:t xml:space="preserve">2. Problem Statement</w:t>
      </w:r>
    </w:p>
    <w:p>
      <w:pPr>
        <w:pStyle w:val="FirstParagraph"/>
      </w:pPr>
      <w:r>
        <w:t xml:space="preserve">Riyadh's business environment faces unique challenges that demand specialized accounting expertise. The 2018 VAT introduction, stringent Saudi Corporate Tax regulations, and the rapid influx of multinational corporations have created complex financial compliance demands. Simultaneously, Saudi Arabia's cultural emphasis on relationship-based business (wasta) clashes with global accounting transparency standards. Current literature largely focuses on government fiscal policy rather than frontline</w:t>
      </w:r>
      <w:r>
        <w:t xml:space="preserve"> </w:t>
      </w:r>
      <w:r>
        <w:rPr>
          <w:bCs/>
          <w:b/>
        </w:rPr>
        <w:t xml:space="preserve">Accountant</w:t>
      </w:r>
      <w:r>
        <w:t xml:space="preserve"> </w:t>
      </w:r>
      <w:r>
        <w:t xml:space="preserve">experiences. This disconnect risks creating a skills gap: 68% of Riyadh-based businesses report difficulties finding accountants proficient in both international standards and local Saudi regulations (Saudi Central Bank, 2023). Without understanding the</w:t>
      </w:r>
      <w:r>
        <w:t xml:space="preserve"> </w:t>
      </w:r>
      <w:r>
        <w:rPr>
          <w:bCs/>
          <w:b/>
        </w:rPr>
        <w:t xml:space="preserve">Accountant</w:t>
      </w:r>
      <w:r>
        <w:t xml:space="preserve">'s daily operational challenges in Riyadh—such as reconciling Sharia-compliant finance with modern accounting frameworks or managing cross-cultural client expectations—Saudi Arabia's economic diversification efforts may face unnecessary friction. This thesis directly addresses this void by centering the</w:t>
      </w:r>
      <w:r>
        <w:t xml:space="preserve"> </w:t>
      </w:r>
      <w:r>
        <w:rPr>
          <w:bCs/>
          <w:b/>
        </w:rPr>
        <w:t xml:space="preserve">Accountant</w:t>
      </w:r>
      <w:r>
        <w:t xml:space="preserve">'s perspective within Saudi Arabia Riyadh's strategic economic pivot.</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Map the evolving skill requirements of accountants in Riyadh's post-Vision 2030 economy</w:t>
      </w:r>
    </w:p>
    <w:p>
      <w:pPr>
        <w:numPr>
          <w:ilvl w:val="0"/>
          <w:numId w:val="1001"/>
        </w:numPr>
        <w:pStyle w:val="Compact"/>
      </w:pPr>
      <w:r>
        <w:t xml:space="preserve">Analyze how cultural, regulatory, and technological factors shape accounting practices within Saudi Arabia Riyadh</w:t>
      </w:r>
    </w:p>
    <w:p>
      <w:pPr>
        <w:numPr>
          <w:ilvl w:val="0"/>
          <w:numId w:val="1001"/>
        </w:numPr>
        <w:pStyle w:val="Compact"/>
      </w:pPr>
      <w:r>
        <w:t xml:space="preserve">Evaluate the impact of professional development programs on accountant effectiveness in local business contexts</w:t>
      </w:r>
    </w:p>
    <w:p>
      <w:pPr>
        <w:pStyle w:val="FirstParagraph"/>
      </w:pPr>
      <w:r>
        <w:t xml:space="preserve">The central research question is:</w:t>
      </w:r>
      <w:r>
        <w:t xml:space="preserve"> </w:t>
      </w:r>
      <w:r>
        <w:rPr>
          <w:iCs/>
          <w:i/>
        </w:rPr>
        <w:t xml:space="preserve">"How do accountants in Riyadh navigate the intersection of global accounting standards, Saudi regulatory frameworks, and cultural business norms to support Saudi Arabia's economic diversification agenda?"</w:t>
      </w:r>
    </w:p>
    <w:p>
      <w:pPr>
        <w:pStyle w:val="BodyText"/>
      </w:pPr>
      <w:r>
        <w:t xml:space="preserve">Sub-questions include:</w:t>
      </w:r>
    </w:p>
    <w:p>
      <w:pPr>
        <w:numPr>
          <w:ilvl w:val="0"/>
          <w:numId w:val="1002"/>
        </w:numPr>
        <w:pStyle w:val="Compact"/>
      </w:pPr>
      <w:r>
        <w:t xml:space="preserve">To what extent has VAT implementation altered core accounting workflows for Riyadh-based firms?</w:t>
      </w:r>
    </w:p>
    <w:p>
      <w:pPr>
        <w:numPr>
          <w:ilvl w:val="0"/>
          <w:numId w:val="1002"/>
        </w:numPr>
        <w:pStyle w:val="Compact"/>
      </w:pPr>
      <w:r>
        <w:t xml:space="preserve">How do accountants reconcile international financial reporting standards (IFRS) with local Saudi business customs?</w:t>
      </w:r>
    </w:p>
    <w:p>
      <w:pPr>
        <w:numPr>
          <w:ilvl w:val="0"/>
          <w:numId w:val="1002"/>
        </w:numPr>
        <w:pStyle w:val="Compact"/>
      </w:pPr>
      <w:r>
        <w:t xml:space="preserve">What technological tools are most effectively adopted by accountants in Riyadh to enhance compliance and strategic value?</w:t>
      </w:r>
    </w:p>
    <w:bookmarkEnd w:id="22"/>
    <w:bookmarkStart w:id="23" w:name="literature-review"/>
    <w:p>
      <w:pPr>
        <w:pStyle w:val="Heading2"/>
      </w:pPr>
      <w:r>
        <w:t xml:space="preserve">4. Literature Review</w:t>
      </w:r>
    </w:p>
    <w:p>
      <w:pPr>
        <w:pStyle w:val="FirstParagraph"/>
      </w:pPr>
      <w:r>
        <w:t xml:space="preserve">Existing scholarship on accounting in the Gulf region primarily focuses on tax policy (Al-Suwaij &amp; Al-Harbi, 2021) or comparative auditing (Al-Mamari et al., 2020). However, these studies neglect the</w:t>
      </w:r>
      <w:r>
        <w:t xml:space="preserve"> </w:t>
      </w:r>
      <w:r>
        <w:rPr>
          <w:bCs/>
          <w:b/>
        </w:rPr>
        <w:t xml:space="preserve">Accountant</w:t>
      </w:r>
      <w:r>
        <w:t xml:space="preserve">'s lived experience in Saudi Arabia's capital. Recent works by Al-Omair (2023) on digital transformation in Riyadh highlight AI adoption but omit the human element of accounting teams. Crucially, no research examines how Vision 2030's gender-inclusion policies—where female accountants now represent 45% of Riyadh's finance workforce (Saudization Report, 2023)—reshape team dynamics and service delivery models. This thesis bridges these gaps by positioning the</w:t>
      </w:r>
      <w:r>
        <w:t xml:space="preserve"> </w:t>
      </w:r>
      <w:r>
        <w:rPr>
          <w:bCs/>
          <w:b/>
        </w:rPr>
        <w:t xml:space="preserve">Accountant</w:t>
      </w:r>
      <w:r>
        <w:t xml:space="preserve"> </w:t>
      </w:r>
      <w:r>
        <w:t xml:space="preserve">as the pivotal agent within Saudi Arabia Riyadh's economic narrative.</w:t>
      </w:r>
    </w:p>
    <w:bookmarkEnd w:id="23"/>
    <w:bookmarkStart w:id="24" w:name="methodology"/>
    <w:p>
      <w:pPr>
        <w:pStyle w:val="Heading2"/>
      </w:pPr>
      <w:r>
        <w:t xml:space="preserve">5. Methodology</w:t>
      </w:r>
    </w:p>
    <w:p>
      <w:pPr>
        <w:pStyle w:val="FirstParagraph"/>
      </w:pPr>
      <w:r>
        <w:t xml:space="preserve">This qualitative study will employ a mixed-methods approach across 12 months:</w:t>
      </w:r>
    </w:p>
    <w:p>
      <w:pPr>
        <w:numPr>
          <w:ilvl w:val="0"/>
          <w:numId w:val="1003"/>
        </w:numPr>
        <w:pStyle w:val="Compact"/>
      </w:pPr>
      <w:r>
        <w:rPr>
          <w:iCs/>
          <w:i/>
        </w:rPr>
        <w:t xml:space="preserve">Document Analysis:</w:t>
      </w:r>
      <w:r>
        <w:t xml:space="preserve"> </w:t>
      </w:r>
      <w:r>
        <w:t xml:space="preserve">Review of Saudi Ministry of Commerce regulations, VAT guidelines, and Vision 2030 economic reports to contextualize regulatory shifts.</w:t>
      </w:r>
    </w:p>
    <w:p>
      <w:pPr>
        <w:numPr>
          <w:ilvl w:val="0"/>
          <w:numId w:val="1003"/>
        </w:numPr>
        <w:pStyle w:val="Compact"/>
      </w:pPr>
      <w:r>
        <w:rPr>
          <w:iCs/>
          <w:i/>
        </w:rPr>
        <w:t xml:space="preserve">Semi-Structured Interviews:</w:t>
      </w:r>
      <w:r>
        <w:t xml:space="preserve"> </w:t>
      </w:r>
      <w:r>
        <w:t xml:space="preserve">In-depth conversations with 35 accountants across Riyadh (15 public accounting firms, 10 corporate finance teams, 10 government entities) using snowball sampling to ensure representation of gender, experience level (2–20 years), and sector.</w:t>
      </w:r>
    </w:p>
    <w:p>
      <w:pPr>
        <w:numPr>
          <w:ilvl w:val="0"/>
          <w:numId w:val="1003"/>
        </w:numPr>
        <w:pStyle w:val="Compact"/>
      </w:pPr>
      <w:r>
        <w:rPr>
          <w:iCs/>
          <w:i/>
        </w:rPr>
        <w:t xml:space="preserve">Focus Groups:</w:t>
      </w:r>
      <w:r>
        <w:t xml:space="preserve"> </w:t>
      </w:r>
      <w:r>
        <w:t xml:space="preserve">Four sessions with professional bodies (Saudi Council of Accountants) to validate findings on skill gaps.</w:t>
      </w:r>
    </w:p>
    <w:p>
      <w:pPr>
        <w:pStyle w:val="FirstParagraph"/>
      </w:pPr>
      <w:r>
        <w:t xml:space="preserve">Data will be analyzed using thematic analysis in NVivo, identifying patterns around regulatory adaptation, cultural negotiation, and technology integration. Sampling will prioritize Riyadh's diverse economic zones (King Abdullah Financial District, Riyadh Industrial City) to capture regional variations within the capital. Ethical approval from King Saud University's IRB will ensure compliance with Saudi research standards.</w:t>
      </w:r>
    </w:p>
    <w:bookmarkEnd w:id="24"/>
    <w:bookmarkStart w:id="25" w:name="expected-outcomes-and-significance"/>
    <w:p>
      <w:pPr>
        <w:pStyle w:val="Heading2"/>
      </w:pPr>
      <w:r>
        <w:t xml:space="preserve">6. Expected Outcomes and Significance</w:t>
      </w:r>
    </w:p>
    <w:p>
      <w:pPr>
        <w:pStyle w:val="FirstParagraph"/>
      </w:pPr>
      <w:r>
        <w:t xml:space="preserve">This thesis is expected to yield three key contributions:</w:t>
      </w:r>
    </w:p>
    <w:p>
      <w:pPr>
        <w:numPr>
          <w:ilvl w:val="0"/>
          <w:numId w:val="1004"/>
        </w:numPr>
        <w:pStyle w:val="Compact"/>
      </w:pPr>
      <w:r>
        <w:rPr>
          <w:bCs/>
          <w:b/>
        </w:rPr>
        <w:t xml:space="preserve">Practical Framework:</w:t>
      </w:r>
      <w:r>
        <w:t xml:space="preserve"> </w:t>
      </w:r>
      <w:r>
        <w:t xml:space="preserve">A validated competency model for accountants in Riyadh, including cultural intelligence metrics and technology adoption pathways tailored to Saudi regulations.</w:t>
      </w:r>
    </w:p>
    <w:p>
      <w:pPr>
        <w:numPr>
          <w:ilvl w:val="0"/>
          <w:numId w:val="1004"/>
        </w:numPr>
        <w:pStyle w:val="Compact"/>
      </w:pPr>
      <w:r>
        <w:rPr>
          <w:bCs/>
          <w:b/>
        </w:rPr>
        <w:t xml:space="preserve">Policy Recommendations:</w:t>
      </w:r>
      <w:r>
        <w:t xml:space="preserve"> </w:t>
      </w:r>
      <w:r>
        <w:t xml:space="preserve">Evidence-based suggestions for the Saudi Ministry of Human Resources on aligning accounting education (e.g., CMA vs. ACCA curricula) with Vision 2030's needs.</w:t>
      </w:r>
    </w:p>
    <w:p>
      <w:pPr>
        <w:numPr>
          <w:ilvl w:val="0"/>
          <w:numId w:val="1004"/>
        </w:numPr>
        <w:pStyle w:val="Compact"/>
      </w:pPr>
      <w:r>
        <w:rPr>
          <w:bCs/>
          <w:b/>
        </w:rPr>
        <w:t xml:space="preserve">Industry Benchmark:</w:t>
      </w:r>
      <w:r>
        <w:t xml:space="preserve"> </w:t>
      </w:r>
      <w:r>
        <w:t xml:space="preserve">A roadmap for Riyadh businesses to optimize accountant deployment in high-growth sectors (e.g., renewable energy projects under the NEOM initiative).</w:t>
      </w:r>
    </w:p>
    <w:p>
      <w:pPr>
        <w:pStyle w:val="FirstParagraph"/>
      </w:pPr>
      <w:r>
        <w:t xml:space="preserve">The significance extends beyond academia: effective accounting practices are foundational to Saudi Arabia's foreign investment appeal. As global firms target Riyadh as a regional HQ, accountants serve as "trust architects" ensuring compliance while navigating local nuances. This research will directly support the Saudi Central Bank's goal of enhancing financial sector resilience and position the</w:t>
      </w:r>
      <w:r>
        <w:t xml:space="preserve"> </w:t>
      </w:r>
      <w:r>
        <w:rPr>
          <w:bCs/>
          <w:b/>
        </w:rPr>
        <w:t xml:space="preserve">Accountant</w:t>
      </w:r>
      <w:r>
        <w:t xml:space="preserve"> </w:t>
      </w:r>
      <w:r>
        <w:t xml:space="preserve">as an indispensable catalyst in Riyadh's economic transformation.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Literature Review &amp; Design</w:t>
      </w:r>
    </w:p>
    <w:p>
      <w:pPr>
        <w:pStyle w:val="BodyText"/>
      </w:pPr>
      <w:r>
        <w:t xml:space="preserve">✓</w:t>
      </w:r>
    </w:p>
    <w:p>
      <w:pPr>
        <w:pStyle w:val="BodyText"/>
      </w:pPr>
      <w:r>
        <w:rPr>
          <w:bCs/>
          <w:b/>
        </w:rPr>
        <w:t xml:space="preserve">Data Collection (Interviews)</w:t>
      </w:r>
    </w:p>
    <w:p>
      <w:pPr>
        <w:pStyle w:val="BodyText"/>
      </w:pPr>
      <w:r>
        <w:t xml:space="preserve">✓</w:t>
      </w:r>
    </w:p>
    <w:p>
      <w:pPr>
        <w:pStyle w:val="BodyText"/>
      </w:pPr>
      <w:r>
        <w:t xml:space="preserve">✓</w:t>
      </w:r>
    </w:p>
    <w:p>
      <w:pPr>
        <w:pStyle w:val="BodyText"/>
      </w:pPr>
      <w:r>
        <w:t xml:space="preserve">✓</w:t>
      </w:r>
    </w:p>
    <w:p>
      <w:pPr>
        <w:pStyle w:val="BodyText"/>
      </w:pPr>
      <w:r>
        <w:rPr>
          <w:bCs/>
          <w:b/>
        </w:rPr>
        <w:t xml:space="preserve">Data Analysis &amp; Drafting</w:t>
      </w:r>
    </w:p>
    <w:p>
      <w:pPr>
        <w:pStyle w:val="BodyText"/>
      </w:pPr>
      <w:r>
        <w:t xml:space="preserve">✓</w:t>
      </w:r>
    </w:p>
    <w:p>
      <w:pPr>
        <w:pStyle w:val="BodyText"/>
      </w:pPr>
      <w:r>
        <w:t xml:space="preserve">✓</w:t>
      </w:r>
    </w:p>
    <w:p>
      <w:pPr>
        <w:pStyle w:val="BodyText"/>
      </w:pPr>
      <w:r>
        <w:rPr>
          <w:bCs/>
          <w:b/>
        </w:rPr>
        <w:t xml:space="preserve">Final Thesis &amp; Defense</w:t>
      </w:r>
    </w:p>
    <w:p>
      <w:pPr>
        <w:pStyle w:val="BodyText"/>
      </w:pPr>
      <w:r>
        <w:t xml:space="preserve">✓</w:t>
      </w:r>
    </w:p>
    <w:bookmarkEnd w:id="26"/>
    <w:bookmarkStart w:id="27" w:name="conclusion"/>
    <w:p>
      <w:pPr>
        <w:pStyle w:val="Heading2"/>
      </w:pPr>
      <w:r>
        <w:t xml:space="preserve">8. Conclusion</w:t>
      </w:r>
    </w:p>
    <w:p>
      <w:pPr>
        <w:pStyle w:val="FirstParagraph"/>
      </w:pPr>
      <w:r>
        <w:t xml:space="preserve">This Thesis Proposal centers on the critical, yet understudied, role of the</w:t>
      </w:r>
      <w:r>
        <w:t xml:space="preserve"> </w:t>
      </w:r>
      <w:r>
        <w:rPr>
          <w:bCs/>
          <w:b/>
        </w:rPr>
        <w:t xml:space="preserve">Accountant</w:t>
      </w:r>
      <w:r>
        <w:t xml:space="preserve"> </w:t>
      </w:r>
      <w:r>
        <w:t xml:space="preserve">within Saudi Arabia Riyadh's economic renaissance. As Vision 2030 accelerates Saudi Arabia's diversification, the accountant is no longer a back-office function but a strategic partner in nation-building. By investigating how accountants in Riyadh navigate regulatory complexity, cultural dynamics, and technological change, this research will provide actionable insights to empower both professionals and policymakers. The findings promise to elevate the</w:t>
      </w:r>
      <w:r>
        <w:t xml:space="preserve"> </w:t>
      </w:r>
      <w:r>
        <w:rPr>
          <w:bCs/>
          <w:b/>
        </w:rPr>
        <w:t xml:space="preserve">Accountant</w:t>
      </w:r>
      <w:r>
        <w:t xml:space="preserve"> </w:t>
      </w:r>
      <w:r>
        <w:t xml:space="preserve">from compliance officer to economic enabler—directly supporting Saudi Arabia's aspiration to become a global financial hub where Riyadh stands at the forefront of innovation. This thesis represents not merely academic inquiry, but a contribution to the very heartbeat of Saudi Arabia Riyadh's modernization journey.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 in Saudi Arabia Riyadh's Economic Transformation</dc:title>
  <dc:creator/>
  <dc:language>en</dc:language>
  <cp:keywords/>
  <dcterms:created xsi:type="dcterms:W3CDTF">2026-07-20T13:04:13Z</dcterms:created>
  <dcterms:modified xsi:type="dcterms:W3CDTF">2026-07-20T13:04:13Z</dcterms:modified>
</cp:coreProperties>
</file>

<file path=docProps/custom.xml><?xml version="1.0" encoding="utf-8"?>
<Properties xmlns="http://schemas.openxmlformats.org/officeDocument/2006/custom-properties" xmlns:vt="http://schemas.openxmlformats.org/officeDocument/2006/docPropsVTypes"/>
</file>