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Switzerland</w:t>
      </w:r>
      <w:r>
        <w:t xml:space="preserve"> </w:t>
      </w:r>
      <w:r>
        <w:t xml:space="preserve">Zurich</w:t>
      </w:r>
    </w:p>
    <w:bookmarkStart w:id="28" w:name="X450432530b0a2c7a6c64be2b54607b471c6b26f"/>
    <w:p>
      <w:pPr>
        <w:pStyle w:val="Heading1"/>
      </w:pPr>
      <w:r>
        <w:t xml:space="preserve">Thesis Proposal: The Evolving Role of the Accountant in Switzerland Zurich Amidst Regulatory Complexity and Digital Transformation</w:t>
      </w:r>
    </w:p>
    <w:bookmarkStart w:id="20" w:name="abstract"/>
    <w:p>
      <w:pPr>
        <w:pStyle w:val="Heading2"/>
      </w:pPr>
      <w:r>
        <w:t xml:space="preserve">Abstract</w:t>
      </w:r>
    </w:p>
    <w:p>
      <w:pPr>
        <w:pStyle w:val="FirstParagraph"/>
      </w:pPr>
      <w:r>
        <w:t xml:space="preserve">This thesis proposal investigates the dynamic professional landscape of the</w:t>
      </w:r>
      <w:r>
        <w:t xml:space="preserve"> </w:t>
      </w:r>
      <w:r>
        <w:rPr>
          <w:iCs/>
          <w:i/>
        </w:rPr>
        <w:t xml:space="preserve">Accountant</w:t>
      </w:r>
      <w:r>
        <w:t xml:space="preserve"> </w:t>
      </w:r>
      <w:r>
        <w:t xml:space="preserve">within the unique economic and regulatory environment of</w:t>
      </w:r>
      <w:r>
        <w:t xml:space="preserve"> </w:t>
      </w:r>
      <w:r>
        <w:rPr>
          <w:bCs/>
          <w:b/>
        </w:rPr>
        <w:t xml:space="preserve">Switzerland Zurich</w:t>
      </w:r>
      <w:r>
        <w:t xml:space="preserve">. Focusing on Zurich as a global financial hub, this research addresses a critical gap in understanding how modern accounting practices are adapting to stringent Swiss regulatory frameworks, rapid technological adoption, and evolving stakeholder expectations. The study will analyze the shifting competencies required of accountants in Zurich-based firms—from traditional bookkeeping to strategic advisory roles—and assess the impact of ESG (Environmental, Social, Governance) integration on professional practice. With Zurich hosting major financial institutions like UBS and Credit Suisse (now part of UBS), alongside a dense ecosystem of SMEs and multinational headquarters, the role of the</w:t>
      </w:r>
      <w:r>
        <w:t xml:space="preserve"> </w:t>
      </w:r>
      <w:r>
        <w:rPr>
          <w:iCs/>
          <w:i/>
        </w:rPr>
        <w:t xml:space="preserve">Accountant</w:t>
      </w:r>
      <w:r>
        <w:t xml:space="preserve"> </w:t>
      </w:r>
      <w:r>
        <w:t xml:space="preserve">in</w:t>
      </w:r>
      <w:r>
        <w:t xml:space="preserve"> </w:t>
      </w:r>
      <w:r>
        <w:rPr>
          <w:bCs/>
          <w:b/>
        </w:rPr>
        <w:t xml:space="preserve">Switzerland Zurich</w:t>
      </w:r>
      <w:r>
        <w:t xml:space="preserve"> </w:t>
      </w:r>
      <w:r>
        <w:t xml:space="preserve">has transcended compliance to become a cornerstone of business strategy. This research seeks to provide evidence-based insights for academic curricula, professional development, and regulatory bodies navigating this transformation.</w:t>
      </w:r>
    </w:p>
    <w:bookmarkEnd w:id="20"/>
    <w:bookmarkStart w:id="21" w:name="Xc9a295c58813e6a93ee2c49e4b08ef51b610c03"/>
    <w:p>
      <w:pPr>
        <w:pStyle w:val="Heading2"/>
      </w:pPr>
      <w:r>
        <w:t xml:space="preserve">1. Introduction: The Significance of Accounting in Zurich's Economy</w:t>
      </w:r>
    </w:p>
    <w:p>
      <w:pPr>
        <w:pStyle w:val="FirstParagraph"/>
      </w:pPr>
      <w:r>
        <w:t xml:space="preserve">Zurich, as Switzerland’s economic capital and a leading global financial center (GFC), demands exceptional accounting expertise. The city houses the headquarters of numerous multinational corporations, private banks, insurance giants, and fintech innovators operating under a complex tapestry of Swiss federal law (e.g., the Federal Act on Accounting and Auditing –</w:t>
      </w:r>
      <w:r>
        <w:t xml:space="preserve"> </w:t>
      </w:r>
      <w:r>
        <w:rPr>
          <w:iCs/>
          <w:i/>
        </w:rPr>
        <w:t xml:space="preserve">Rechnungslegungsgesetz</w:t>
      </w:r>
      <w:r>
        <w:t xml:space="preserve">), EU directives (via bilateral agreements), and international standards (IFRS). In this context, the</w:t>
      </w:r>
      <w:r>
        <w:t xml:space="preserve"> </w:t>
      </w:r>
      <w:r>
        <w:rPr>
          <w:iCs/>
          <w:i/>
        </w:rPr>
        <w:t xml:space="preserve">Accountant</w:t>
      </w:r>
      <w:r>
        <w:t xml:space="preserve"> </w:t>
      </w:r>
      <w:r>
        <w:t xml:space="preserve">is not merely a record-keeper but a strategic partner responsible for navigating regulatory intricacies, ensuring tax efficiency across borders, and enabling data-driven decision-making. The Swiss legal requirement for auditors to be licensed by the Swiss Financial Market Supervisory Authority (</w:t>
      </w:r>
      <w:r>
        <w:rPr>
          <w:iCs/>
          <w:i/>
        </w:rPr>
        <w:t xml:space="preserve">FINMA</w:t>
      </w:r>
      <w:r>
        <w:t xml:space="preserve">) further elevates professional standards in</w:t>
      </w:r>
      <w:r>
        <w:t xml:space="preserve"> </w:t>
      </w:r>
      <w:r>
        <w:rPr>
          <w:bCs/>
          <w:b/>
        </w:rPr>
        <w:t xml:space="preserve">Switzerland Zurich</w:t>
      </w:r>
      <w:r>
        <w:t xml:space="preserve">. This thesis will argue that the evolving role of the</w:t>
      </w:r>
      <w:r>
        <w:t xml:space="preserve"> </w:t>
      </w:r>
      <w:r>
        <w:rPr>
          <w:iCs/>
          <w:i/>
        </w:rPr>
        <w:t xml:space="preserve">Accountant</w:t>
      </w:r>
      <w:r>
        <w:t xml:space="preserve"> </w:t>
      </w:r>
      <w:r>
        <w:t xml:space="preserve">in this ecosystem is pivotal for sustaining Zurich’s competitiveness as a financial center in an era of digital disruption and heightened ESG scrutiny.</w:t>
      </w:r>
    </w:p>
    <w:bookmarkEnd w:id="21"/>
    <w:bookmarkStart w:id="22" w:name="problem-statement-and-research-gap"/>
    <w:p>
      <w:pPr>
        <w:pStyle w:val="Heading2"/>
      </w:pPr>
      <w:r>
        <w:t xml:space="preserve">2. Problem Statement and Research Gap</w:t>
      </w:r>
    </w:p>
    <w:p>
      <w:pPr>
        <w:pStyle w:val="FirstParagraph"/>
      </w:pPr>
      <w:r>
        <w:t xml:space="preserve">While academic literature extensively covers international accounting standards, there is limited empirical research specifically addressing the *practical adaptation* of the</w:t>
      </w:r>
      <w:r>
        <w:t xml:space="preserve"> </w:t>
      </w:r>
      <w:r>
        <w:rPr>
          <w:iCs/>
          <w:i/>
        </w:rPr>
        <w:t xml:space="preserve">Accountant</w:t>
      </w:r>
      <w:r>
        <w:t xml:space="preserve">'s role within Zurich’s distinctive market. Existing studies often generalize across Switzerland or focus on Geneva/Lausanne, overlooking Zurich’s unique concentration of high-value financial services and its position as a bridge between EU and non-EU markets. Crucially, the rapid implementation of Swiss regulations like the revised Anti-Money Laundering Act (</w:t>
      </w:r>
      <w:r>
        <w:rPr>
          <w:iCs/>
          <w:i/>
        </w:rPr>
        <w:t xml:space="preserve">Geldwäschegesetz</w:t>
      </w:r>
      <w:r>
        <w:t xml:space="preserve">), the increasing demand for sustainability reporting under Swiss legislation (e.g., CO2 Act), and the adoption of AI-driven accounting tools present novel challenges unaddressed in current professional guidance. This gap impedes effective workforce development and strategic planning for Zurich-based firms. The core research question is:</w:t>
      </w:r>
      <w:r>
        <w:t xml:space="preserve"> </w:t>
      </w:r>
      <w:r>
        <w:rPr>
          <w:iCs/>
          <w:i/>
        </w:rPr>
        <w:t xml:space="preserve">How are accountants in Zurich adapting their competencies, technologies, and ethical frameworks to meet the evolving demands driven by Swiss regulations, digital transformation, and ESG imperatives?</w:t>
      </w:r>
    </w:p>
    <w:bookmarkEnd w:id="22"/>
    <w:bookmarkStart w:id="23" w:name="literature-review-key-contextual-factors"/>
    <w:p>
      <w:pPr>
        <w:pStyle w:val="Heading2"/>
      </w:pPr>
      <w:r>
        <w:t xml:space="preserve">3. Literature Review: Key Contextual Factors</w:t>
      </w:r>
    </w:p>
    <w:p>
      <w:pPr>
        <w:pStyle w:val="FirstParagraph"/>
      </w:pPr>
      <w:r>
        <w:t xml:space="preserve">The proposed research will synthesize scholarship on:</w:t>
      </w:r>
    </w:p>
    <w:p>
      <w:pPr>
        <w:numPr>
          <w:ilvl w:val="0"/>
          <w:numId w:val="1001"/>
        </w:numPr>
        <w:pStyle w:val="Compact"/>
      </w:pPr>
      <w:r>
        <w:rPr>
          <w:bCs/>
          <w:b/>
        </w:rPr>
        <w:t xml:space="preserve">Swiss Accounting Standards:</w:t>
      </w:r>
      <w:r>
        <w:t xml:space="preserve"> </w:t>
      </w:r>
      <w:r>
        <w:t xml:space="preserve">The interplay between Swiss GAAP (SR 100-4) and IFRS, particularly for listed entities in Zurich.</w:t>
      </w:r>
    </w:p>
    <w:p>
      <w:pPr>
        <w:numPr>
          <w:ilvl w:val="0"/>
          <w:numId w:val="1001"/>
        </w:numPr>
        <w:pStyle w:val="Compact"/>
      </w:pPr>
      <w:r>
        <w:rPr>
          <w:bCs/>
          <w:b/>
        </w:rPr>
        <w:t xml:space="preserve">Regulatory Evolution:</w:t>
      </w:r>
      <w:r>
        <w:t xml:space="preserve"> </w:t>
      </w:r>
      <w:r>
        <w:t xml:space="preserve">Impact of FINMA’s digitalization guidelines (</w:t>
      </w:r>
      <w:r>
        <w:rPr>
          <w:iCs/>
          <w:i/>
        </w:rPr>
        <w:t xml:space="preserve">Digitalisierungsstrategie</w:t>
      </w:r>
      <w:r>
        <w:t xml:space="preserve">) and the Swiss National Bank’s crypto regulations on accounting practices.</w:t>
      </w:r>
    </w:p>
    <w:p>
      <w:pPr>
        <w:numPr>
          <w:ilvl w:val="0"/>
          <w:numId w:val="1001"/>
        </w:numPr>
        <w:pStyle w:val="Compact"/>
      </w:pPr>
      <w:r>
        <w:rPr>
          <w:bCs/>
          <w:b/>
        </w:rPr>
        <w:t xml:space="preserve">ESG Integration:</w:t>
      </w:r>
      <w:r>
        <w:t xml:space="preserve"> </w:t>
      </w:r>
      <w:r>
        <w:t xml:space="preserve">Swiss law's growing emphasis on climate reporting (e.g., requirements under Art. 16a of the Federal Act on Banks and Savings Banks) and how Zurich-based accountants implement it.</w:t>
      </w:r>
    </w:p>
    <w:p>
      <w:pPr>
        <w:numPr>
          <w:ilvl w:val="0"/>
          <w:numId w:val="1001"/>
        </w:numPr>
        <w:pStyle w:val="Compact"/>
      </w:pPr>
      <w:r>
        <w:rPr>
          <w:bCs/>
          <w:b/>
        </w:rPr>
        <w:t xml:space="preserve">Tech Adoption:</w:t>
      </w:r>
      <w:r>
        <w:t xml:space="preserve"> </w:t>
      </w:r>
      <w:r>
        <w:t xml:space="preserve">Use of AI tools (e.g., automation for reconciliations, predictive analytics) in Zurich accounting departments, contrasting with broader European trends.</w:t>
      </w:r>
    </w:p>
    <w:p>
      <w:pPr>
        <w:pStyle w:val="FirstParagraph"/>
      </w:pPr>
      <w:r>
        <w:t xml:space="preserve">This review will highlight the lack of localized studies on *how* these factors specifically reshape the daily work and career trajectories of the</w:t>
      </w:r>
      <w:r>
        <w:t xml:space="preserve"> </w:t>
      </w:r>
      <w:r>
        <w:rPr>
          <w:iCs/>
          <w:i/>
        </w:rPr>
        <w:t xml:space="preserve">Accountant</w:t>
      </w:r>
      <w:r>
        <w:t xml:space="preserve"> </w:t>
      </w:r>
      <w:r>
        <w:t xml:space="preserve">in</w:t>
      </w:r>
      <w:r>
        <w:t xml:space="preserve"> </w:t>
      </w:r>
      <w:r>
        <w:rPr>
          <w:bCs/>
          <w:b/>
        </w:rPr>
        <w:t xml:space="preserve">Switzerland Zurich</w:t>
      </w:r>
      <w:r>
        <w:t xml:space="preserve">, moving beyond theoretical frameworks to ground-level practice.</w:t>
      </w:r>
    </w:p>
    <w:bookmarkEnd w:id="23"/>
    <w:bookmarkStart w:id="24" w:name="methodology"/>
    <w:p>
      <w:pPr>
        <w:pStyle w:val="Heading2"/>
      </w:pPr>
      <w:r>
        <w:t xml:space="preserve">4. Methodology</w:t>
      </w:r>
    </w:p>
    <w:p>
      <w:pPr>
        <w:pStyle w:val="FirstParagraph"/>
      </w:pPr>
      <w:r>
        <w:t xml:space="preserve">A mixed-methods approach will be employed to ensure robust, context-specific findings:</w:t>
      </w:r>
    </w:p>
    <w:p>
      <w:pPr>
        <w:numPr>
          <w:ilvl w:val="0"/>
          <w:numId w:val="1002"/>
        </w:numPr>
        <w:pStyle w:val="Compact"/>
      </w:pPr>
      <w:r>
        <w:rPr>
          <w:bCs/>
          <w:b/>
        </w:rPr>
        <w:t xml:space="preserve">Semi-Structured Interviews (N=25):</w:t>
      </w:r>
      <w:r>
        <w:t xml:space="preserve"> </w:t>
      </w:r>
      <w:r>
        <w:t xml:space="preserve">Targeting senior accountants, audit managers, and CFOs from diverse Zurich firms (multinationals, mid-sized enterprises, fintech startups) to explore competency shifts and pain points.</w:t>
      </w:r>
    </w:p>
    <w:p>
      <w:pPr>
        <w:numPr>
          <w:ilvl w:val="0"/>
          <w:numId w:val="1002"/>
        </w:numPr>
        <w:pStyle w:val="Compact"/>
      </w:pPr>
      <w:r>
        <w:rPr>
          <w:bCs/>
          <w:b/>
        </w:rPr>
        <w:t xml:space="preserve">Survey of Swiss Accounting Professionals:</w:t>
      </w:r>
      <w:r>
        <w:t xml:space="preserve"> </w:t>
      </w:r>
      <w:r>
        <w:t xml:space="preserve">Online questionnaire distributed via the Swiss Association of Certified Public Accountants (</w:t>
      </w:r>
      <w:r>
        <w:rPr>
          <w:iCs/>
          <w:i/>
        </w:rPr>
        <w:t xml:space="preserve">Schweizerische Gesellschaft der Wirtschaftsprüfer</w:t>
      </w:r>
      <w:r>
        <w:t xml:space="preserve">) to quantify trends in skill development (e.g., AI literacy, ESG reporting proficiency) among</w:t>
      </w:r>
      <w:r>
        <w:t xml:space="preserve"> </w:t>
      </w:r>
      <w:r>
        <w:rPr>
          <w:iCs/>
          <w:i/>
        </w:rPr>
        <w:t xml:space="preserve">Accountant</w:t>
      </w:r>
      <w:r>
        <w:t xml:space="preserve">s in Zurich.</w:t>
      </w:r>
    </w:p>
    <w:p>
      <w:pPr>
        <w:numPr>
          <w:ilvl w:val="0"/>
          <w:numId w:val="1002"/>
        </w:numPr>
        <w:pStyle w:val="Compact"/>
      </w:pPr>
      <w:r>
        <w:rPr>
          <w:bCs/>
          <w:b/>
        </w:rPr>
        <w:t xml:space="preserve">Case Study Analysis:</w:t>
      </w:r>
      <w:r>
        <w:t xml:space="preserve"> </w:t>
      </w:r>
      <w:r>
        <w:t xml:space="preserve">Deep dive into two Zurich-based firms—one traditional financial services entity and one innovative fintech—examining their accounting function’s adaptation strategies to specific regulatory or tech challenges.</w:t>
      </w:r>
    </w:p>
    <w:p>
      <w:pPr>
        <w:pStyle w:val="FirstParagraph"/>
      </w:pPr>
      <w:r>
        <w:t xml:space="preserve">Data will be analyzed thematically for qualitative insights and statistically for quantitative patterns, ensuring triangulation. Ethical approval will be sought from the host university, with anonymization of all participant data.</w:t>
      </w:r>
    </w:p>
    <w:bookmarkEnd w:id="24"/>
    <w:bookmarkStart w:id="25" w:name="expected-contribution"/>
    <w:p>
      <w:pPr>
        <w:pStyle w:val="Heading2"/>
      </w:pPr>
      <w:r>
        <w:t xml:space="preserve">5. Expected Contribution</w:t>
      </w:r>
    </w:p>
    <w:p>
      <w:pPr>
        <w:pStyle w:val="FirstParagraph"/>
      </w:pPr>
      <w:r>
        <w:t xml:space="preserve">This research promises significant contributions:</w:t>
      </w:r>
    </w:p>
    <w:p>
      <w:pPr>
        <w:numPr>
          <w:ilvl w:val="0"/>
          <w:numId w:val="1003"/>
        </w:numPr>
        <w:pStyle w:val="Compact"/>
      </w:pPr>
      <w:r>
        <w:rPr>
          <w:bCs/>
          <w:b/>
        </w:rPr>
        <w:t xml:space="preserve">For Zurich-Based Firms:</w:t>
      </w:r>
      <w:r>
        <w:t xml:space="preserve"> </w:t>
      </w:r>
      <w:r>
        <w:t xml:space="preserve">Actionable recommendations on upskilling accountants for ESG reporting, AI adoption, and navigating Swiss-FINMA compliance.</w:t>
      </w:r>
    </w:p>
    <w:p>
      <w:pPr>
        <w:numPr>
          <w:ilvl w:val="0"/>
          <w:numId w:val="1003"/>
        </w:numPr>
        <w:pStyle w:val="Compact"/>
      </w:pPr>
      <w:r>
        <w:rPr>
          <w:bCs/>
          <w:b/>
        </w:rPr>
        <w:t xml:space="preserve">For Academic Institutions:</w:t>
      </w:r>
      <w:r>
        <w:t xml:space="preserve"> </w:t>
      </w:r>
      <w:r>
        <w:t xml:space="preserve">Evidence to inform curricula at the University of Zurich or ETH Zurich, aligning teaching with industry demands in</w:t>
      </w:r>
      <w:r>
        <w:t xml:space="preserve"> </w:t>
      </w:r>
      <w:r>
        <w:rPr>
          <w:bCs/>
          <w:b/>
        </w:rPr>
        <w:t xml:space="preserve">Switzerland Zurich</w:t>
      </w:r>
      <w:r>
        <w:t xml:space="preserve">.</w:t>
      </w:r>
    </w:p>
    <w:p>
      <w:pPr>
        <w:numPr>
          <w:ilvl w:val="0"/>
          <w:numId w:val="1003"/>
        </w:numPr>
        <w:pStyle w:val="Compact"/>
      </w:pPr>
      <w:r>
        <w:rPr>
          <w:bCs/>
          <w:b/>
        </w:rPr>
        <w:t xml:space="preserve">For Professional Bodies (e.g., Swiss Association of Certified Public Accountants):</w:t>
      </w:r>
      <w:r>
        <w:t xml:space="preserve"> </w:t>
      </w:r>
      <w:r>
        <w:t xml:space="preserve">Data to update certification requirements and continuing professional development (CPD) programs.</w:t>
      </w:r>
    </w:p>
    <w:p>
      <w:pPr>
        <w:numPr>
          <w:ilvl w:val="0"/>
          <w:numId w:val="1003"/>
        </w:numPr>
        <w:pStyle w:val="Compact"/>
      </w:pPr>
      <w:r>
        <w:rPr>
          <w:bCs/>
          <w:b/>
        </w:rPr>
        <w:t xml:space="preserve">Theoretical Impact:</w:t>
      </w:r>
      <w:r>
        <w:t xml:space="preserve"> </w:t>
      </w:r>
      <w:r>
        <w:t xml:space="preserve">Advancing understanding of how accounting practice evolves within a highly regulated, globally connected financial center distinct from EU or US models.</w:t>
      </w:r>
    </w:p>
    <w:bookmarkEnd w:id="25"/>
    <w:bookmarkStart w:id="26" w:name="timeline"/>
    <w:p>
      <w:pPr>
        <w:pStyle w:val="Heading2"/>
      </w:pPr>
      <w:r>
        <w:t xml:space="preserve">6.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Methodology Finalization</w:t>
            </w:r>
          </w:p>
        </w:tc>
        <w:tc>
          <w:tcPr/>
          <w:p>
            <w:pPr>
              <w:pStyle w:val="Compact"/>
              <w:jc w:val="left"/>
            </w:pPr>
            <w:r>
              <w:t xml:space="preserve">Months 1-2</w:t>
            </w:r>
          </w:p>
        </w:tc>
        <w:tc>
          <w:tcPr/>
          <w:p>
            <w:pPr>
              <w:pStyle w:val="Compact"/>
              <w:jc w:val="left"/>
            </w:pPr>
            <w:r>
              <w:t xml:space="preserve">Refined research questions, ethics approval, interview/survey protocols.</w:t>
            </w:r>
          </w:p>
        </w:tc>
      </w:tr>
      <w:tr>
        <w:tc>
          <w:tcPr/>
          <w:p>
            <w:pPr>
              <w:pStyle w:val="Compact"/>
              <w:jc w:val="left"/>
            </w:pPr>
            <w:r>
              <w:t xml:space="preserve">Data Collection (Interviews &amp; Surveys)</w:t>
            </w:r>
          </w:p>
        </w:tc>
        <w:tc>
          <w:tcPr/>
          <w:p>
            <w:pPr>
              <w:pStyle w:val="Compact"/>
              <w:jc w:val="left"/>
            </w:pPr>
            <w:r>
              <w:t xml:space="preserve">Months 3-5</w:t>
            </w:r>
          </w:p>
        </w:tc>
        <w:tc>
          <w:tcPr/>
          <w:p>
            <w:pPr>
              <w:pStyle w:val="Compact"/>
              <w:jc w:val="left"/>
            </w:pPr>
            <w:r>
              <w:t xml:space="preserve">Transcribed interviews, completed survey data set.</w:t>
            </w:r>
          </w:p>
        </w:tc>
      </w:tr>
      <w:tr>
        <w:tc>
          <w:tcPr/>
          <w:p>
            <w:pPr>
              <w:pStyle w:val="Compact"/>
              <w:jc w:val="left"/>
            </w:pPr>
            <w:r>
              <w:t xml:space="preserve">Data Analysis &amp; Case Study Development</w:t>
            </w:r>
          </w:p>
        </w:tc>
        <w:tc>
          <w:tcPr/>
          <w:p>
            <w:pPr>
              <w:pStyle w:val="Compact"/>
              <w:jc w:val="left"/>
            </w:pPr>
            <w:r>
              <w:t xml:space="preserve">Months 6-8</w:t>
            </w:r>
          </w:p>
        </w:tc>
        <w:tc>
          <w:tcPr/>
          <w:p>
            <w:pPr>
              <w:pStyle w:val="Compact"/>
              <w:jc w:val="left"/>
            </w:pPr>
            <w:r>
              <w:t xml:space="preserve">Thematic analysis report, case study documentation.</w:t>
            </w:r>
          </w:p>
        </w:tc>
      </w:tr>
      <w:tr>
        <w:tc>
          <w:tcPr/>
          <w:p>
            <w:pPr>
              <w:pStyle w:val="Compact"/>
              <w:jc w:val="left"/>
            </w:pPr>
            <w:r>
              <w:t xml:space="preserve">Thesis Drafting &amp; Revision</w:t>
            </w:r>
          </w:p>
        </w:tc>
        <w:tc>
          <w:tcPr/>
          <w:p>
            <w:pPr>
              <w:pStyle w:val="Compact"/>
              <w:jc w:val="left"/>
            </w:pPr>
            <w:r>
              <w:t xml:space="preserve">Months 9-10</w:t>
            </w:r>
          </w:p>
        </w:tc>
        <w:tc>
          <w:tcPr/>
          <w:p>
            <w:pPr>
              <w:pStyle w:val="Compact"/>
              <w:jc w:val="left"/>
            </w:pPr>
            <w:r>
              <w:t xml:space="preserve">Rough draft, peer feedback, final submission.</w:t>
            </w:r>
          </w:p>
        </w:tc>
      </w:tr>
    </w:tbl>
    <w:bookmarkEnd w:id="26"/>
    <w:bookmarkStart w:id="27" w:name="conclusion"/>
    <w:p>
      <w:pPr>
        <w:pStyle w:val="Heading2"/>
      </w:pPr>
      <w:r>
        <w:t xml:space="preserve">7. Conclusion</w:t>
      </w:r>
    </w:p>
    <w:p>
      <w:pPr>
        <w:pStyle w:val="FirstParagraph"/>
      </w:pPr>
      <w:r>
        <w:t xml:space="preserve">The role of the</w:t>
      </w:r>
      <w:r>
        <w:t xml:space="preserve"> </w:t>
      </w:r>
      <w:r>
        <w:rPr>
          <w:iCs/>
          <w:i/>
        </w:rPr>
        <w:t xml:space="preserve">Accountant</w:t>
      </w:r>
      <w:r>
        <w:t xml:space="preserve"> </w:t>
      </w:r>
      <w:r>
        <w:t xml:space="preserve">in Switzerland Zurich is undergoing profound transformation driven by regulatory sophistication, technological innovation, and stakeholder demands for sustainability. This thesis proposal outlines a vital investigation into how professionals are navigating this complex landscape. By grounding the research exclusively within Zurich’s ecosystem—the epicenter of Swiss finance—this study will deliver contextually rich insights far beyond generic accounting discourse. It directly addresses the imperative for</w:t>
      </w:r>
      <w:r>
        <w:t xml:space="preserve"> </w:t>
      </w:r>
      <w:r>
        <w:rPr>
          <w:iCs/>
          <w:i/>
        </w:rPr>
        <w:t xml:space="preserve">Accountant</w:t>
      </w:r>
      <w:r>
        <w:t xml:space="preserve">s in</w:t>
      </w:r>
      <w:r>
        <w:t xml:space="preserve"> </w:t>
      </w:r>
      <w:r>
        <w:rPr>
          <w:bCs/>
          <w:b/>
        </w:rPr>
        <w:t xml:space="preserve">Switzerland Zurich</w:t>
      </w:r>
      <w:r>
        <w:t xml:space="preserve"> </w:t>
      </w:r>
      <w:r>
        <w:t xml:space="preserve">to evolve from compliance-focused roles to strategic business enablers. The findings will equip firms, educators, and regulators with the knowledge needed to foster a resilient, future-ready accounting profession capable of sustaining Zurich’s position as a global financial leader. This work is not merely academic; it is essential for the continued economic vitality of</w:t>
      </w:r>
      <w:r>
        <w:t xml:space="preserve"> </w:t>
      </w:r>
      <w:r>
        <w:rPr>
          <w:bCs/>
          <w:b/>
        </w:rPr>
        <w:t xml:space="preserve">Switzerland Zurich</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Accountant in Switzerland Zurich</dc:title>
  <dc:creator/>
  <dc:language>en</dc:language>
  <cp:keywords/>
  <dcterms:created xsi:type="dcterms:W3CDTF">2026-07-21T09:57:18Z</dcterms:created>
  <dcterms:modified xsi:type="dcterms:W3CDTF">2026-07-21T09:57:18Z</dcterms:modified>
</cp:coreProperties>
</file>

<file path=docProps/custom.xml><?xml version="1.0" encoding="utf-8"?>
<Properties xmlns="http://schemas.openxmlformats.org/officeDocument/2006/custom-properties" xmlns:vt="http://schemas.openxmlformats.org/officeDocument/2006/docPropsVTypes"/>
</file>