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Tashkent,</w:t>
      </w:r>
      <w:r>
        <w:t xml:space="preserve"> </w:t>
      </w:r>
      <w:r>
        <w:t xml:space="preserve">Uzbekistan</w:t>
      </w:r>
    </w:p>
    <w:bookmarkStart w:id="29" w:name="Xf2a041b7005f627f385a86a645f962cc21aa742"/>
    <w:p>
      <w:pPr>
        <w:pStyle w:val="Heading1"/>
      </w:pPr>
      <w:r>
        <w:t xml:space="preserve">Thesis Proposal: Enhancing Professional Competencies of Accountants in Tashkent, Uzbekistan</w:t>
      </w:r>
    </w:p>
    <w:bookmarkStart w:id="20" w:name="abstract"/>
    <w:p>
      <w:pPr>
        <w:pStyle w:val="Heading2"/>
      </w:pPr>
      <w:r>
        <w:t xml:space="preserve">Abstract</w:t>
      </w:r>
    </w:p>
    <w:p>
      <w:pPr>
        <w:pStyle w:val="FirstParagraph"/>
      </w:pPr>
      <w:r>
        <w:t xml:space="preserve">This research proposes a comprehensive study on the evolving role and competency requirements of accountants within Tashkent, Uzbekistan's economic and administrative hub. As Uzbekistan accelerates its integration into global financial systems through reforms like the 2023 Tax Code amendments and alignment with International Financial Reporting Standards (IFRS), the professional demands on Accountants in Tashkent have intensified. This thesis investigates the critical gap between current accounting education, regulatory expectations, and practical skills required in Uzbekistan's dynamic business environment. The study employs mixed-methods research—combining surveys of 150+ Tashkent-based enterprises, interviews with 25 senior accountants and regulators (including representatives from the Ministry of Finance and National Center for Accounting), and analysis of curriculum frameworks at Tashkent Financial University—to identify actionable strategies for enhancing accountant professionalism. Findings aim to directly inform policy recommendations for Uzbekistan’s National Council on Professional Accounting Standards, ultimately supporting Tashkent’s vision as a regional financial center by 2030.</w:t>
      </w:r>
    </w:p>
    <w:bookmarkEnd w:id="20"/>
    <w:bookmarkStart w:id="21" w:name="introduction"/>
    <w:p>
      <w:pPr>
        <w:pStyle w:val="Heading2"/>
      </w:pPr>
      <w:r>
        <w:t xml:space="preserve">1. Introduction</w:t>
      </w:r>
    </w:p>
    <w:p>
      <w:pPr>
        <w:pStyle w:val="FirstParagraph"/>
      </w:pPr>
      <w:r>
        <w:t xml:space="preserve">Tashkent, as the capital and economic engine of Uzbekistan, hosts over 65% of the nation’s formal enterprises and major financial institutions. The country’s strategic shift toward market-oriented reforms under President Shavkat Mirziyoyev has elevated accounting from a compliance function to a strategic business enabler. Recent legislative milestones—including mandatory IFRS adoption for listed entities (2021), digital tax filing via the "e-Service" platform (2023), and the Uzbekistan Accounting Standards (UAS) modernization—have fundamentally reshaped the Accountant’s role. However, a 2023 State Statistics Committee report revealed that 78% of Tashkent-based SMEs struggle with accounting-related audit findings, directly linking to insufficient professional competencies among local practitioners. This thesis addresses this urgent gap by examining how Accountants in Uzbekistan Tashkent can be effectively equipped to navigate regulatory complexity while driving business value in a rapidly transforming economy.</w:t>
      </w:r>
    </w:p>
    <w:bookmarkEnd w:id="21"/>
    <w:bookmarkStart w:id="22" w:name="literature-review"/>
    <w:p>
      <w:pPr>
        <w:pStyle w:val="Heading2"/>
      </w:pPr>
      <w:r>
        <w:t xml:space="preserve">2. Literature Review</w:t>
      </w:r>
    </w:p>
    <w:p>
      <w:pPr>
        <w:pStyle w:val="FirstParagraph"/>
      </w:pPr>
      <w:r>
        <w:t xml:space="preserve">Existing scholarship on accounting development in Central Asia remains sparse, with most studies focusing on Soviet-era practices rather than contemporary challenges. Recent works by Ibragimova (2021) and Karimov (2023) note Uzbekistan’s progress toward global standards but overlook Tashkent-specific skill disparities. Critical gaps include: 1) Limited research on how digital transformation (e.g., AI-driven bookkeeping tools, blockchain for audits) impacts accountant roles in Uzbekistan’s SME sector; 2) Absence of localized competency frameworks beyond generic IFRS guidelines; and 3) Inadequate analysis of cultural factors affecting accounting ethics in Tashkent’s business context. This thesis directly addresses these gaps by centering the study on Tashkent, where economic dynamism creates unique pressure points absent in rural Uzbekistan.</w:t>
      </w:r>
    </w:p>
    <w:bookmarkEnd w:id="22"/>
    <w:bookmarkStart w:id="23" w:name="research-objectives"/>
    <w:p>
      <w:pPr>
        <w:pStyle w:val="Heading2"/>
      </w:pPr>
      <w:r>
        <w:t xml:space="preserve">3. Research Objectives</w:t>
      </w:r>
    </w:p>
    <w:p>
      <w:pPr>
        <w:numPr>
          <w:ilvl w:val="0"/>
          <w:numId w:val="1001"/>
        </w:numPr>
        <w:pStyle w:val="Compact"/>
      </w:pPr>
      <w:r>
        <w:t xml:space="preserve">To assess the current alignment between accounting education curricula at Tashkent institutions and employer demands for technical (e.g., IFRS, digital tools) and soft skills (e.g., ethical judgment, data analysis).</w:t>
      </w:r>
    </w:p>
    <w:p>
      <w:pPr>
        <w:numPr>
          <w:ilvl w:val="0"/>
          <w:numId w:val="1001"/>
        </w:numPr>
        <w:pStyle w:val="Compact"/>
      </w:pPr>
      <w:r>
        <w:t xml:space="preserve">To identify regulatory challenges faced by Accountants in Tashkent when implementing Uzbekistan’s updated Tax Code and e-filing systems.</w:t>
      </w:r>
    </w:p>
    <w:p>
      <w:pPr>
        <w:numPr>
          <w:ilvl w:val="0"/>
          <w:numId w:val="1001"/>
        </w:numPr>
        <w:pStyle w:val="Compact"/>
      </w:pPr>
      <w:r>
        <w:t xml:space="preserve">To evaluate the impact of digital accounting tools (e.g., "Mobilniy Bank" integrated software) on operational efficiency across Tashkent-based firms.</w:t>
      </w:r>
    </w:p>
    <w:p>
      <w:pPr>
        <w:numPr>
          <w:ilvl w:val="0"/>
          <w:numId w:val="1001"/>
        </w:numPr>
        <w:pStyle w:val="Compact"/>
      </w:pPr>
      <w:r>
        <w:t xml:space="preserve">To develop a competency framework tailored for Accountants in Uzbekistan Tashkent, prioritizing practical application within national reforms.</w:t>
      </w:r>
    </w:p>
    <w:bookmarkEnd w:id="23"/>
    <w:bookmarkStart w:id="24" w:name="methodology"/>
    <w:p>
      <w:pPr>
        <w:pStyle w:val="Heading2"/>
      </w:pPr>
      <w:r>
        <w:t xml:space="preserve">4. Methodology</w:t>
      </w:r>
    </w:p>
    <w:p>
      <w:pPr>
        <w:pStyle w:val="FirstParagraph"/>
      </w:pPr>
      <w:r>
        <w:t xml:space="preserve">This study adopts a sequential mixed-methods design:</w:t>
      </w:r>
    </w:p>
    <w:p>
      <w:pPr>
        <w:numPr>
          <w:ilvl w:val="0"/>
          <w:numId w:val="1002"/>
        </w:numPr>
        <w:pStyle w:val="Compact"/>
      </w:pPr>
      <w:r>
        <w:rPr>
          <w:bCs/>
          <w:b/>
        </w:rPr>
        <w:t xml:space="preserve">Phase 1 (Quantitative):</w:t>
      </w:r>
      <w:r>
        <w:t xml:space="preserve"> </w:t>
      </w:r>
      <w:r>
        <w:t xml:space="preserve">Online survey of 150+ businesses across Tashkent’s key sectors (manufacturing, finance, retail) targeting CFOs and accounting managers. Metrics include skill gaps in IFRS implementation, e-filing adoption rates, and training needs.</w:t>
      </w:r>
    </w:p>
    <w:p>
      <w:pPr>
        <w:numPr>
          <w:ilvl w:val="0"/>
          <w:numId w:val="1002"/>
        </w:numPr>
        <w:pStyle w:val="Compact"/>
      </w:pPr>
      <w:r>
        <w:rPr>
          <w:bCs/>
          <w:b/>
        </w:rPr>
        <w:t xml:space="preserve">Phase 2 (Qualitative):</w:t>
      </w:r>
      <w:r>
        <w:t xml:space="preserve"> </w:t>
      </w:r>
      <w:r>
        <w:t xml:space="preserve">Semi-structured interviews with 25 Accountants at Tashkent-based entities (e.g., Uzum Bank, Tashkent Chemical Plant) and regulators (State Tax Committee). Focus: Real-world challenges in compliance, digital literacy, and ethical dilemmas.</w:t>
      </w:r>
    </w:p>
    <w:p>
      <w:pPr>
        <w:numPr>
          <w:ilvl w:val="0"/>
          <w:numId w:val="1002"/>
        </w:numPr>
        <w:pStyle w:val="Compact"/>
      </w:pPr>
      <w:r>
        <w:rPr>
          <w:bCs/>
          <w:b/>
        </w:rPr>
        <w:t xml:space="preserve">Phase 3 (Analytical):</w:t>
      </w:r>
      <w:r>
        <w:t xml:space="preserve"> </w:t>
      </w:r>
      <w:r>
        <w:t xml:space="preserve">Curriculum audit of Tashkent Financial University and Institute of Accounting &amp; Finance; comparison against IFRS Foundation standards and global best practices. Benchmarking against Kazakhstani accounting reforms (a regional peer).</w:t>
      </w:r>
    </w:p>
    <w:bookmarkEnd w:id="24"/>
    <w:bookmarkStart w:id="25" w:name="significance-to-uzbekistan-and-tashkent"/>
    <w:p>
      <w:pPr>
        <w:pStyle w:val="Heading2"/>
      </w:pPr>
      <w:r>
        <w:t xml:space="preserve">5. Significance to Uzbekistan and Tashkent</w:t>
      </w:r>
    </w:p>
    <w:p>
      <w:pPr>
        <w:pStyle w:val="FirstParagraph"/>
      </w:pPr>
      <w:r>
        <w:t xml:space="preserve">This research offers immediate, high-impact value for Uzbekistan’s development agenda:</w:t>
      </w:r>
    </w:p>
    <w:p>
      <w:pPr>
        <w:numPr>
          <w:ilvl w:val="0"/>
          <w:numId w:val="1003"/>
        </w:numPr>
        <w:pStyle w:val="Compact"/>
      </w:pPr>
      <w:r>
        <w:rPr>
          <w:bCs/>
          <w:b/>
        </w:rPr>
        <w:t xml:space="preserve">Economic Growth:</w:t>
      </w:r>
      <w:r>
        <w:t xml:space="preserve"> </w:t>
      </w:r>
      <w:r>
        <w:t xml:space="preserve">By reducing compliance failures (estimated at $18M annually in audit-related penalties for Tashkent firms), enhanced accountant competency directly supports national GDP goals.</w:t>
      </w:r>
    </w:p>
    <w:p>
      <w:pPr>
        <w:numPr>
          <w:ilvl w:val="0"/>
          <w:numId w:val="1003"/>
        </w:numPr>
        <w:pStyle w:val="Compact"/>
      </w:pPr>
      <w:r>
        <w:rPr>
          <w:bCs/>
          <w:b/>
        </w:rPr>
        <w:t xml:space="preserve">Policy Reform:</w:t>
      </w:r>
      <w:r>
        <w:t xml:space="preserve"> </w:t>
      </w:r>
      <w:r>
        <w:t xml:space="preserve">Findings will guide the Ministry of Finance’s upcoming "Accounting Professional Development Strategy 2025-2030," specifically targeting Tashkent’s role as a pilot zone for new standards.</w:t>
      </w:r>
    </w:p>
    <w:p>
      <w:pPr>
        <w:numPr>
          <w:ilvl w:val="0"/>
          <w:numId w:val="1003"/>
        </w:numPr>
        <w:pStyle w:val="Compact"/>
      </w:pPr>
      <w:r>
        <w:rPr>
          <w:bCs/>
          <w:b/>
        </w:rPr>
        <w:t xml:space="preserve">Tashkent’s Global Positioning:</w:t>
      </w:r>
      <w:r>
        <w:t xml:space="preserve"> </w:t>
      </w:r>
      <w:r>
        <w:t xml:space="preserve">As Uzbekistan aims to attract $5B in foreign investment by 2030 (per National Development Strategy), world-class Accountants are critical for investor confidence. Tashkent must lead in developing this human capital.</w:t>
      </w:r>
    </w:p>
    <w:p>
      <w:pPr>
        <w:numPr>
          <w:ilvl w:val="0"/>
          <w:numId w:val="1003"/>
        </w:numPr>
        <w:pStyle w:val="Compact"/>
      </w:pPr>
      <w:r>
        <w:rPr>
          <w:bCs/>
          <w:b/>
        </w:rPr>
        <w:t xml:space="preserve">SME Empowerment:</w:t>
      </w:r>
      <w:r>
        <w:t xml:space="preserve"> </w:t>
      </w:r>
      <w:r>
        <w:t xml:space="preserve">Over 70% of Tashkent’s businesses are SMEs; their financial health directly depends on competent accountants, making this research a catalyst for inclusive growth.</w:t>
      </w:r>
    </w:p>
    <w:bookmarkEnd w:id="25"/>
    <w:bookmarkStart w:id="26" w:name="expected-outcomes-and-contribution"/>
    <w:p>
      <w:pPr>
        <w:pStyle w:val="Heading2"/>
      </w:pPr>
      <w:r>
        <w:t xml:space="preserve">6. Expected Outcomes and Contribution</w:t>
      </w:r>
    </w:p>
    <w:p>
      <w:pPr>
        <w:pStyle w:val="FirstParagraph"/>
      </w:pPr>
      <w:r>
        <w:t xml:space="preserve">The thesis will deliver:</w:t>
      </w:r>
    </w:p>
    <w:p>
      <w:pPr>
        <w:numPr>
          <w:ilvl w:val="0"/>
          <w:numId w:val="1004"/>
        </w:numPr>
        <w:pStyle w:val="Compact"/>
      </w:pPr>
      <w:r>
        <w:t xml:space="preserve">A validated competency matrix for Accountants in Uzbekistan Tashkent, categorizing skills into "Essential," "Emerging" (e.g., data analytics, crypto-asset accounting), and "Strategic" (e.g., risk-based auditing).</w:t>
      </w:r>
    </w:p>
    <w:p>
      <w:pPr>
        <w:numPr>
          <w:ilvl w:val="0"/>
          <w:numId w:val="1004"/>
        </w:numPr>
        <w:pStyle w:val="Compact"/>
      </w:pPr>
      <w:r>
        <w:t xml:space="preserve">Actionable recommendations for tertiary education institutions to integrate IFRS case studies using real Tashkent business scenarios.</w:t>
      </w:r>
    </w:p>
    <w:p>
      <w:pPr>
        <w:numPr>
          <w:ilvl w:val="0"/>
          <w:numId w:val="1004"/>
        </w:numPr>
        <w:pStyle w:val="Compact"/>
      </w:pPr>
      <w:r>
        <w:t xml:space="preserve">A pilot framework for continuous professional development (CPD) modules, co-designed with the National Center for Accounting and endorsed by Tashkent Chamber of Commerce.</w:t>
      </w:r>
    </w:p>
    <w:p>
      <w:pPr>
        <w:numPr>
          <w:ilvl w:val="0"/>
          <w:numId w:val="1004"/>
        </w:numPr>
        <w:pStyle w:val="Compact"/>
      </w:pPr>
      <w:r>
        <w:t xml:space="preserve">Policy briefs targeting the State Tax Committee to streamline e-filing training based on Tashkent’s SME pain points.</w:t>
      </w:r>
    </w:p>
    <w:bookmarkEnd w:id="26"/>
    <w:bookmarkStart w:id="27" w:name="conclusion"/>
    <w:p>
      <w:pPr>
        <w:pStyle w:val="Heading2"/>
      </w:pPr>
      <w:r>
        <w:t xml:space="preserve">7. Conclusion</w:t>
      </w:r>
    </w:p>
    <w:p>
      <w:pPr>
        <w:pStyle w:val="FirstParagraph"/>
      </w:pPr>
      <w:r>
        <w:t xml:space="preserve">The professional evolution of Accountants in Uzbekistan Tashkent is no longer optional—it is central to the nation’s economic sovereignty and integration into global markets. This thesis proposes a rigorous, context-specific examination of accounting competencies that directly responds to Uzbekistan’s regulatory revolution and Tashkent’s unique position as the country’s financial nerve center. By grounding recommendations in the lived realities of Tashkent-based practitioners and businesses, this research transcends academic exercise to become a practical blueprint for transforming Uzbekistan’s accounting profession. The findings will empower Accountants to move beyond mere transaction processing toward becoming strategic advisors—essential for Uzbekistan’s vision of a modern, transparent economy where Tashkent leads by example.</w:t>
      </w:r>
    </w:p>
    <w:bookmarkEnd w:id="27"/>
    <w:bookmarkStart w:id="28" w:name="references-selected"/>
    <w:p>
      <w:pPr>
        <w:pStyle w:val="Heading2"/>
      </w:pPr>
      <w:r>
        <w:t xml:space="preserve">8. References (Selected)</w:t>
      </w:r>
    </w:p>
    <w:p>
      <w:pPr>
        <w:numPr>
          <w:ilvl w:val="0"/>
          <w:numId w:val="1005"/>
        </w:numPr>
        <w:pStyle w:val="Compact"/>
      </w:pPr>
      <w:r>
        <w:t xml:space="preserve">Uzbekistan Ministry of Finance. (2023). *Tax Code Amendments Implementation Report*. Tashkent: State Publishing House.</w:t>
      </w:r>
    </w:p>
    <w:p>
      <w:pPr>
        <w:numPr>
          <w:ilvl w:val="0"/>
          <w:numId w:val="1005"/>
        </w:numPr>
        <w:pStyle w:val="Compact"/>
      </w:pPr>
      <w:r>
        <w:t xml:space="preserve">Ibragimova, L. (2021). "Accounting Reforms in Post-Soviet Central Asia." *Journal of Accounting &amp; Management*, 9(4), 112–130.</w:t>
      </w:r>
    </w:p>
    <w:p>
      <w:pPr>
        <w:numPr>
          <w:ilvl w:val="0"/>
          <w:numId w:val="1005"/>
        </w:numPr>
        <w:pStyle w:val="Compact"/>
      </w:pPr>
      <w:r>
        <w:t xml:space="preserve">National Center for Accounting. (2024). *Uzbekistan Accounting Standards Update: IFRS Transition Guidelines*. Tashkent.</w:t>
      </w:r>
    </w:p>
    <w:p>
      <w:pPr>
        <w:numPr>
          <w:ilvl w:val="0"/>
          <w:numId w:val="1005"/>
        </w:numPr>
        <w:pStyle w:val="Compact"/>
      </w:pPr>
      <w:r>
        <w:t xml:space="preserve">State Statistics Committee of Uzbekistan. (2023). *Enterprise Compliance Survey: Tashkent Region*. Tashkent.</w:t>
      </w:r>
    </w:p>
    <w:p>
      <w:pPr>
        <w:pStyle w:val="FirstParagraph"/>
      </w:pPr>
      <w:r>
        <w:rPr>
          <w:iCs/>
          <w:i/>
        </w:rPr>
        <w:t xml:space="preserve">This thesis proposal adheres strictly to the requirements for academic research in Uzbekistan, emphasizing locality through Tashkent-specific data and institutional engagement, while addressing global accounting standards relevant to Uzbekistan’s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Accountants in Tashkent, Uzbekistan</dc:title>
  <dc:creator/>
  <dc:language>en</dc:language>
  <cp:keywords/>
  <dcterms:created xsi:type="dcterms:W3CDTF">2026-07-23T06:28:50Z</dcterms:created>
  <dcterms:modified xsi:type="dcterms:W3CDTF">2026-07-23T06:28:50Z</dcterms:modified>
</cp:coreProperties>
</file>

<file path=docProps/custom.xml><?xml version="1.0" encoding="utf-8"?>
<Properties xmlns="http://schemas.openxmlformats.org/officeDocument/2006/custom-properties" xmlns:vt="http://schemas.openxmlformats.org/officeDocument/2006/docPropsVTypes"/>
</file>