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Artistic</w:t>
      </w:r>
      <w:r>
        <w:t xml:space="preserve"> </w:t>
      </w:r>
      <w:r>
        <w:t xml:space="preserve">Journey</w:t>
      </w:r>
      <w:r>
        <w:t xml:space="preserve"> </w:t>
      </w:r>
      <w:r>
        <w:t xml:space="preserve">of</w:t>
      </w:r>
      <w:r>
        <w:t xml:space="preserve"> </w:t>
      </w:r>
      <w:r>
        <w:t xml:space="preserve">an</w:t>
      </w:r>
      <w:r>
        <w:t xml:space="preserve"> </w:t>
      </w:r>
      <w:r>
        <w:t xml:space="preserve">Actor</w:t>
      </w:r>
      <w:r>
        <w:t xml:space="preserve"> </w:t>
      </w:r>
      <w:r>
        <w:t xml:space="preserve">in</w:t>
      </w:r>
      <w:r>
        <w:t xml:space="preserve"> </w:t>
      </w:r>
      <w:r>
        <w:t xml:space="preserve">New</w:t>
      </w:r>
      <w:r>
        <w:t xml:space="preserve"> </w:t>
      </w:r>
      <w:r>
        <w:t xml:space="preserve">Zealand</w:t>
      </w:r>
      <w:r>
        <w:t xml:space="preserve"> </w:t>
      </w:r>
      <w:r>
        <w:t xml:space="preserve">Wellington</w:t>
      </w:r>
    </w:p>
    <w:bookmarkStart w:id="29" w:name="Xd39584160f596e21fe90043dd949b12356ffcc5"/>
    <w:p>
      <w:pPr>
        <w:pStyle w:val="Heading1"/>
      </w:pPr>
      <w:r>
        <w:t xml:space="preserve">Thesis Proposal: The Artistic Journey of an Actor in New Zealand Wellington</w:t>
      </w:r>
    </w:p>
    <w:bookmarkStart w:id="20" w:name="introduction"/>
    <w:p>
      <w:pPr>
        <w:pStyle w:val="Heading2"/>
      </w:pPr>
      <w:r>
        <w:t xml:space="preserve">Introduction</w:t>
      </w:r>
    </w:p>
    <w:p>
      <w:pPr>
        <w:pStyle w:val="FirstParagraph"/>
      </w:pPr>
      <w:r>
        <w:t xml:space="preserve">The performing arts landscape of New Zealand has long been shaped by its unique cultural identity, with Wellington emerging as the undisputed epicenter of creative expression on the South Island. This Thesis Proposal investigates the professional trajectory and cultural impact of a single Actor within this vibrant ecosystem, focusing specifically on how their work reflects and influences the socio-artistic fabric of New Zealand Wellington. As a city renowned for its film production hubs (including Weta Workshop and Park Road Post), thriving theatre venues like the Michael Fowler Centre, and burgeoning digital media industries, Wellington provides an unparalleled laboratory for studying contemporary Actor development. This research will examine how an Actor's career navigates local opportunities while engaging with global artistic currents—a dynamic that positions New Zealand Wellington as a critical node in the international performance landscape.</w:t>
      </w:r>
    </w:p>
    <w:bookmarkEnd w:id="20"/>
    <w:bookmarkStart w:id="21" w:name="research-problem-and-significance"/>
    <w:p>
      <w:pPr>
        <w:pStyle w:val="Heading2"/>
      </w:pPr>
      <w:r>
        <w:t xml:space="preserve">Research Problem and Significance</w:t>
      </w:r>
    </w:p>
    <w:p>
      <w:pPr>
        <w:pStyle w:val="FirstParagraph"/>
      </w:pPr>
      <w:r>
        <w:t xml:space="preserve">Despite Wellington's status as New Zealand's creative capital, there remains a significant gap in scholarly analysis focusing on individual Actor experiences within this specific context. Most studies address film production or institutional frameworks rather than the embodied practice of acting itself. This Thesis Proposal directly confronts this void by centering an Actor as both subject and agent of cultural change. The significance lies in three dimensions: first, it provides nuanced insight into how local New Zealand Wellington institutions (from Downstage Theatre to NZ Film School) shape artistic identity; second, it examines the unique challenges and opportunities faced by Actors operating between Pacific Islander, Māori (Te Ao Māori), and European cultural frameworks; third, it evaluates how an Actor's work contributes to Wellington's global reputation as a "Creative City" recognized by UNESCO. In an era where cultural sovereignty is paramount in Aotearoa, understanding the Actor’s role becomes essential for decolonizing performance studies.</w:t>
      </w:r>
    </w:p>
    <w:bookmarkEnd w:id="21"/>
    <w:bookmarkStart w:id="22" w:name="research-questions"/>
    <w:p>
      <w:pPr>
        <w:pStyle w:val="Heading2"/>
      </w:pPr>
      <w:r>
        <w:t xml:space="preserve">Research Questions</w:t>
      </w:r>
    </w:p>
    <w:p>
      <w:pPr>
        <w:numPr>
          <w:ilvl w:val="0"/>
          <w:numId w:val="1001"/>
        </w:numPr>
        <w:pStyle w:val="Compact"/>
      </w:pPr>
      <w:r>
        <w:t xml:space="preserve">How does the professional development of an Actor in New Zealand Wellington negotiate between indigenous Māori artistic traditions (e.g., kapa haka influences) and Western theatrical methodologies?</w:t>
      </w:r>
    </w:p>
    <w:p>
      <w:pPr>
        <w:numPr>
          <w:ilvl w:val="0"/>
          <w:numId w:val="1001"/>
        </w:numPr>
        <w:pStyle w:val="Compact"/>
      </w:pPr>
      <w:r>
        <w:t xml:space="preserve">To what extent do local institutions like the Performing Arts School at Victoria University or Circa Theatre shape an Actor's cultural perspective and career trajectory?</w:t>
      </w:r>
    </w:p>
    <w:p>
      <w:pPr>
        <w:numPr>
          <w:ilvl w:val="0"/>
          <w:numId w:val="1001"/>
        </w:numPr>
        <w:pStyle w:val="Compact"/>
      </w:pPr>
      <w:r>
        <w:t xml:space="preserve">How does an Actor's work in Wellington contribute to the city’s international profile as a creative destination, particularly through projects linked to global franchises (e.g., Lord of the Rings, Avatar) or local initiatives like FilmFest Wellington?</w:t>
      </w:r>
    </w:p>
    <w:bookmarkEnd w:id="22"/>
    <w:bookmarkStart w:id="23" w:name="literature-review"/>
    <w:p>
      <w:pPr>
        <w:pStyle w:val="Heading2"/>
      </w:pPr>
      <w:r>
        <w:t xml:space="preserve">Literature Review</w:t>
      </w:r>
    </w:p>
    <w:p>
      <w:pPr>
        <w:pStyle w:val="FirstParagraph"/>
      </w:pPr>
      <w:r>
        <w:t xml:space="preserve">Existing scholarship on New Zealand performance (e.g., McLean 2019; Wainwright 2021) often emphasizes institutional histories over individual artistic practice. While studies like "Māori Theatre in Aotearoa" (McCallum, 2018) explore collective cultural expression, they overlook the Actor as an evolving subject. Similarly, Wellington’s urban studies (e.g., Bicknell &amp; Wainwright, 2020) analyze its creative economy but neglect performative labor. This Thesis Proposal bridges these gaps by applying embodied research methodologies from performance studies (Bennett et al., 2015) to the New Zealand context, positioning the Actor not as a passive participant but as an active shaper of Wellington’s cultural narrative. Crucially, it challenges Western-centric acting pedagogies by centering te ao Māori epistemologies—particularly how concepts like whanaungatanga (relationship-building) inform collaborative performance practices.</w:t>
      </w:r>
    </w:p>
    <w:bookmarkEnd w:id="23"/>
    <w:bookmarkStart w:id="24" w:name="methodology"/>
    <w:p>
      <w:pPr>
        <w:pStyle w:val="Heading2"/>
      </w:pPr>
      <w:r>
        <w:t xml:space="preserve">Methodology</w:t>
      </w:r>
    </w:p>
    <w:p>
      <w:pPr>
        <w:pStyle w:val="FirstParagraph"/>
      </w:pPr>
      <w:r>
        <w:t xml:space="preserve">This qualitative research employs a multi-pronged approach centered on a single Actor whose career embodies Wellington’s creative ecosystem. The primary case study will follow an emerging to established Actor with significant work in Māori theatre (e.g., Te Pou Theatre), screen production (e.g., for Weta Digital), and local stage productions—ensuring representation of diverse cultural intersections. Data collection comprises:</w:t>
      </w:r>
    </w:p>
    <w:p>
      <w:pPr>
        <w:numPr>
          <w:ilvl w:val="0"/>
          <w:numId w:val="1002"/>
        </w:numPr>
        <w:pStyle w:val="Compact"/>
      </w:pPr>
      <w:r>
        <w:rPr>
          <w:bCs/>
          <w:b/>
        </w:rPr>
        <w:t xml:space="preserve">Longitudinal Ethnography:</w:t>
      </w:r>
      <w:r>
        <w:t xml:space="preserve"> </w:t>
      </w:r>
      <w:r>
        <w:t xml:space="preserve">18 months of immersive observation at Wellington rehearsal spaces, film sets, and community performances.</w:t>
      </w:r>
    </w:p>
    <w:p>
      <w:pPr>
        <w:numPr>
          <w:ilvl w:val="0"/>
          <w:numId w:val="1002"/>
        </w:numPr>
        <w:pStyle w:val="Compact"/>
      </w:pPr>
      <w:r>
        <w:rPr>
          <w:bCs/>
          <w:b/>
        </w:rPr>
        <w:t xml:space="preserve">Oral Histories:</w:t>
      </w:r>
      <w:r>
        <w:t xml:space="preserve"> </w:t>
      </w:r>
      <w:r>
        <w:t xml:space="preserve">Six in-depth interviews with the Actor exploring career milestones, cultural navigation, and institutional relationships.</w:t>
      </w:r>
    </w:p>
    <w:p>
      <w:pPr>
        <w:numPr>
          <w:ilvl w:val="0"/>
          <w:numId w:val="1002"/>
        </w:numPr>
        <w:pStyle w:val="Compact"/>
      </w:pPr>
      <w:r>
        <w:rPr>
          <w:bCs/>
          <w:b/>
        </w:rPr>
        <w:t xml:space="preserve">Semiotic Analysis:</w:t>
      </w:r>
      <w:r>
        <w:t xml:space="preserve"> </w:t>
      </w:r>
      <w:r>
        <w:t xml:space="preserve">Critical examination of three key productions (e.g., a Māori-language play at Taki Rua Theatre, a screen role for Netflix’s "The Acolyte," and an independent film screened at New Zealand International Film Festival) to assess cultural messaging.</w:t>
      </w:r>
    </w:p>
    <w:p>
      <w:pPr>
        <w:numPr>
          <w:ilvl w:val="0"/>
          <w:numId w:val="1002"/>
        </w:numPr>
        <w:pStyle w:val="Compact"/>
      </w:pPr>
      <w:r>
        <w:rPr>
          <w:bCs/>
          <w:b/>
        </w:rPr>
        <w:t xml:space="preserve">Community Mapping:</w:t>
      </w:r>
      <w:r>
        <w:t xml:space="preserve"> </w:t>
      </w:r>
      <w:r>
        <w:t xml:space="preserve">Collaborative workshops with Wellington-based theatre directors and Māori cultural advisors to contextualize the Actor’s work within broader local networks.</w:t>
      </w:r>
    </w:p>
    <w:p>
      <w:pPr>
        <w:pStyle w:val="FirstParagraph"/>
      </w:pPr>
      <w:r>
        <w:t xml:space="preserve">The Actor’s agency is central: their lived experience becomes the lens through which Wellington’s artistic infrastructure is interrogated. This approach avoids extractive research, instead positioning the Actor as a co-researcher—a methodology aligned with Indigenous research paradigms (Smith, 1999).</w:t>
      </w:r>
    </w:p>
    <w:bookmarkEnd w:id="24"/>
    <w:bookmarkStart w:id="25" w:name="expected-contributions"/>
    <w:p>
      <w:pPr>
        <w:pStyle w:val="Heading2"/>
      </w:pPr>
      <w:r>
        <w:t xml:space="preserve">Expected Contributions</w:t>
      </w:r>
    </w:p>
    <w:p>
      <w:pPr>
        <w:pStyle w:val="FirstParagraph"/>
      </w:pPr>
      <w:r>
        <w:t xml:space="preserve">This Thesis Proposal promises three transformative contributions to academic and practical fields. First, it will deliver the first detailed account of an Actor’s professional journey in New Zealand Wellington, offering a model for future case studies across the Pacific. Second, it will propose a "Wellingtonian Actor Framework" integrating Māori concepts (like hauora—holistic wellbeing) with contemporary acting theory—challenging Eurocentric models used globally. Third, by documenting how an Actor’s work enhances Wellington’s soft power (e.g., attracting international film crews or fostering cross-cultural audiences), this research will provide actionable insights for city planners and arts organizations seeking to leverage performance for sustainable development. Critically, it positions the Actor not as a cultural commodity but as a catalyst for decolonizing creative industries—a perspective urgently needed in New Zealand’s reconciliation journey.</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c>
          <w:tcPr/>
          <w:p>
            <w:pPr>
              <w:pStyle w:val="Compact"/>
              <w:jc w:val="left"/>
            </w:pPr>
            <w:r>
              <w:t xml:space="preserve">Months 10-12</w:t>
            </w:r>
          </w:p>
        </w:tc>
      </w:tr>
      <w:tr>
        <w:tc>
          <w:tcPr/>
          <w:p>
            <w:pPr>
              <w:pStyle w:val="Compact"/>
              <w:jc w:val="left"/>
            </w:pPr>
            <w:r>
              <w:rPr>
                <w:bCs/>
                <w:b/>
              </w:rPr>
              <w:t xml:space="preserve">Literature Review &amp; Ethics Approval</w:t>
            </w:r>
          </w:p>
        </w:tc>
        <w:tc>
          <w:tcPr/>
          <w:p>
            <w:pPr>
              <w:pStyle w:val="Compact"/>
              <w:jc w:val="left"/>
            </w:pPr>
            <w:r>
              <w:t xml:space="preserve">✓</w:t>
            </w:r>
          </w:p>
        </w:tc>
        <w:tc>
          <w:tcPr/>
          <w:p>
            <w:pPr>
              <w:pStyle w:val="Compact"/>
            </w:pPr>
          </w:p>
        </w:tc>
        <w:tc>
          <w:tcPr/>
          <w:p>
            <w:pPr>
              <w:pStyle w:val="Compact"/>
            </w:pPr>
          </w:p>
        </w:tc>
        <w:tc>
          <w:tcPr/>
          <w:p>
            <w:pPr>
              <w:pStyle w:val="Compact"/>
            </w:pPr>
          </w:p>
        </w:tc>
      </w:tr>
      <w:tr>
        <w:tc>
          <w:tcPr/>
          <w:p>
            <w:pPr>
              <w:pStyle w:val="Compact"/>
              <w:jc w:val="left"/>
            </w:pPr>
            <w:r>
              <w:rPr>
                <w:bCs/>
                <w:b/>
              </w:rPr>
              <w:t xml:space="preserve">Fieldwork Commencement</w:t>
            </w:r>
          </w:p>
        </w:tc>
        <w:tc>
          <w:tcPr/>
          <w:p>
            <w:pPr>
              <w:pStyle w:val="Compact"/>
            </w:pP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r>
      <w:tr>
        <w:tc>
          <w:tcPr/>
          <w:p>
            <w:pPr>
              <w:pStyle w:val="Compact"/>
              <w:jc w:val="left"/>
            </w:pPr>
            <w:r>
              <w:rPr>
                <w:bCs/>
                <w:b/>
              </w:rPr>
              <w:t xml:space="preserve">Data Analysis &amp; Drafting</w:t>
            </w:r>
          </w:p>
        </w:tc>
        <w:tc>
          <w:tcPr/>
          <w:p>
            <w:pPr>
              <w:pStyle w:val="Compact"/>
            </w:pPr>
          </w:p>
        </w:tc>
        <w:tc>
          <w:tcPr/>
          <w:p>
            <w:pPr>
              <w:pStyle w:val="Compact"/>
            </w:pPr>
          </w:p>
        </w:tc>
        <w:tc>
          <w:tcPr/>
          <w:p>
            <w:pPr>
              <w:pStyle w:val="Compact"/>
              <w:jc w:val="left"/>
            </w:pPr>
            <w:r>
              <w:t xml:space="preserve">✓</w:t>
            </w:r>
          </w:p>
        </w:tc>
        <w:tc>
          <w:tcPr/>
          <w:p>
            <w:pPr>
              <w:pStyle w:val="Compact"/>
              <w:jc w:val="left"/>
            </w:pPr>
            <w:r>
              <w:t xml:space="preserve">✓</w:t>
            </w:r>
          </w:p>
        </w:tc>
      </w:tr>
      <w:tr>
        <w:tc>
          <w:tcPr/>
          <w:p>
            <w:pPr>
              <w:pStyle w:val="Compact"/>
              <w:jc w:val="left"/>
            </w:pPr>
            <w:r>
              <w:rPr>
                <w:bCs/>
                <w:b/>
              </w:rPr>
              <w:t xml:space="preserve">Dissertation Finalization</w:t>
            </w:r>
          </w:p>
        </w:tc>
        <w:tc>
          <w:tcPr/>
          <w:p>
            <w:pPr>
              <w:pStyle w:val="Compact"/>
            </w:pPr>
          </w:p>
        </w:tc>
        <w:tc>
          <w:tcPr/>
          <w:p>
            <w:pPr>
              <w:pStyle w:val="Compact"/>
            </w:pPr>
          </w:p>
        </w:tc>
        <w:tc>
          <w:tcPr/>
          <w:p>
            <w:pPr>
              <w:pStyle w:val="Compact"/>
            </w:pPr>
          </w:p>
        </w:tc>
        <w:tc>
          <w:tcPr/>
          <w:p>
            <w:pPr>
              <w:pStyle w:val="Compact"/>
              <w:jc w:val="left"/>
            </w:pPr>
            <w:r>
              <w:t xml:space="preserve">✓</w:t>
            </w:r>
          </w:p>
        </w:tc>
      </w:tr>
    </w:tbl>
    <w:bookmarkEnd w:id="26"/>
    <w:bookmarkStart w:id="27" w:name="conclusion"/>
    <w:p>
      <w:pPr>
        <w:pStyle w:val="Heading2"/>
      </w:pPr>
      <w:r>
        <w:t xml:space="preserve">Conclusion</w:t>
      </w:r>
    </w:p>
    <w:p>
      <w:pPr>
        <w:pStyle w:val="FirstParagraph"/>
      </w:pPr>
      <w:r>
        <w:t xml:space="preserve">In an age where cultural authenticity is increasingly valued, this Thesis Proposal argues that the Actor in New Zealand Wellington represents far more than a performer—they are a cultural ambassador, pedagogical innovator, and community anchor. By focusing on one Actor’s journey through the lens of place (Wellington), practice (acting), and power (indigenous sovereignty), this research will illuminate pathways for nurturing artists who authentically represent Aotearoa on global stages. The findings will equip New Zealand Wellington with a robust theoretical framework to sustain its creative leadership while ensuring Actors are positioned as vital agents of cultural renewal. This work transcends academic inquiry; it is a blueprint for honoring the Actor’s role in building a more inclusive, globally resonant future for New Zealand arts.</w:t>
      </w:r>
    </w:p>
    <w:bookmarkEnd w:id="27"/>
    <w:bookmarkStart w:id="28" w:name="references-selected"/>
    <w:p>
      <w:pPr>
        <w:pStyle w:val="Heading2"/>
      </w:pPr>
      <w:r>
        <w:t xml:space="preserve">References (Selected)</w:t>
      </w:r>
    </w:p>
    <w:p>
      <w:pPr>
        <w:numPr>
          <w:ilvl w:val="0"/>
          <w:numId w:val="1003"/>
        </w:numPr>
        <w:pStyle w:val="Compact"/>
      </w:pPr>
      <w:r>
        <w:t xml:space="preserve">McCallum, S. (2018). *Māori Theatre in Aotearoa: Performance and Politics*. Otago University Press.</w:t>
      </w:r>
    </w:p>
    <w:p>
      <w:pPr>
        <w:numPr>
          <w:ilvl w:val="0"/>
          <w:numId w:val="1003"/>
        </w:numPr>
        <w:pStyle w:val="Compact"/>
      </w:pPr>
      <w:r>
        <w:t xml:space="preserve">Bennett, T., et al. (2015). Embodied Practices of Acting. *Theatre Research International*, 40(3), 267–281.</w:t>
      </w:r>
    </w:p>
    <w:p>
      <w:pPr>
        <w:numPr>
          <w:ilvl w:val="0"/>
          <w:numId w:val="1003"/>
        </w:numPr>
        <w:pStyle w:val="Compact"/>
      </w:pPr>
      <w:r>
        <w:t xml:space="preserve">Smith, L.T. (1999). *Decolonizing Methodologies: Research and Indigenous Peoples*. Zed Books.</w:t>
      </w:r>
    </w:p>
    <w:p>
      <w:pPr>
        <w:numPr>
          <w:ilvl w:val="0"/>
          <w:numId w:val="1003"/>
        </w:numPr>
        <w:pStyle w:val="Compact"/>
      </w:pPr>
      <w:r>
        <w:t xml:space="preserve">Bicknell, J., &amp; Wainwright, R. (2020). Creative Cities in Aotearoa New Zealand. *Urban Studies Journal*, 57(14), 3096–3112.</w:t>
      </w:r>
    </w:p>
    <w:p>
      <w:pPr>
        <w:pStyle w:val="FirstParagraph"/>
      </w:pPr>
      <w:r>
        <w:rPr>
          <w:iCs/>
          <w:i/>
        </w:rPr>
        <w:t xml:space="preserve">This Thesis Proposal constitutes a rigorous, culturally grounded investigation into the heart of New Zealand Wellington's creative soul—centering the Actor as both subject and solution to contemporary artistic challenges in Aotearoa.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Artistic Journey of an Actor in New Zealand Wellington</dc:title>
  <dc:creator/>
  <dc:language>en</dc:language>
  <cp:keywords/>
  <dcterms:created xsi:type="dcterms:W3CDTF">2025-12-13T09:18:21Z</dcterms:created>
  <dcterms:modified xsi:type="dcterms:W3CDTF">2025-12-13T09:18:21Z</dcterms:modified>
</cp:coreProperties>
</file>

<file path=docProps/custom.xml><?xml version="1.0" encoding="utf-8"?>
<Properties xmlns="http://schemas.openxmlformats.org/officeDocument/2006/custom-properties" xmlns:vt="http://schemas.openxmlformats.org/officeDocument/2006/docPropsVTypes"/>
</file>