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Melbourne</w:t>
      </w:r>
      <w:r>
        <w:t xml:space="preserve"> </w:t>
      </w:r>
      <w:r>
        <w:t xml:space="preserve">Operations</w:t>
      </w:r>
    </w:p>
    <w:bookmarkStart w:id="29" w:name="Xdf80669c5f9635cb1a4e42a741d9226a1524646"/>
    <w:p>
      <w:pPr>
        <w:pStyle w:val="Heading1"/>
      </w:pPr>
      <w:r>
        <w:t xml:space="preserve">Thesis Proposal: Advancing Sustainable Aerospace Propulsion Systems for Australia Melbourne's Aviation Ecosystem</w:t>
      </w:r>
    </w:p>
    <w:bookmarkStart w:id="20" w:name="introduction-and-context"/>
    <w:p>
      <w:pPr>
        <w:pStyle w:val="Heading2"/>
      </w:pPr>
      <w:r>
        <w:t xml:space="preserve">1. Introduction and Context</w:t>
      </w:r>
    </w:p>
    <w:p>
      <w:pPr>
        <w:pStyle w:val="FirstParagraph"/>
      </w:pPr>
      <w:r>
        <w:t xml:space="preserve">The global aerospace industry is undergoing a transformative shift toward sustainability, driven by international climate commitments and technological advancements. In this critical landscape, the role of an Aerospace Engineer in Australia Melbourne has become pivotal for developing region-specific solutions that align with national environmental targets. As Melbourne emerges as Australia's primary aerospace hub—with key facilities like the Aerospace Manufacturing Centre at Tullamarine Airport and partnerships with Boeing Australia—there is an urgent need to address aviation's carbon footprint. This Thesis Proposal outlines a research initiative focused on optimizing sustainable propulsion systems for regional aircraft operations within Australia Melbourne, directly responding to Victoria's 2040 net-zero emissions target and the Australian Government's Aviation White Paper (2023).</w:t>
      </w:r>
    </w:p>
    <w:bookmarkEnd w:id="20"/>
    <w:bookmarkStart w:id="21" w:name="problem-statement"/>
    <w:p>
      <w:pPr>
        <w:pStyle w:val="Heading2"/>
      </w:pPr>
      <w:r>
        <w:t xml:space="preserve">2. Problem Statement</w:t>
      </w:r>
    </w:p>
    <w:p>
      <w:pPr>
        <w:pStyle w:val="FirstParagraph"/>
      </w:pPr>
      <w:r>
        <w:t xml:space="preserve">Current aerospace propulsion technologies face significant limitations in operational efficiency and environmental impact for Australian contexts. Jet fuel-dependent systems contribute approximately 15% of Melbourne Airport's emissions, while regional aircraft operating to Tasmania, New Zealand, and Southeast Asia encounter unique challenges due to Australia Melbourne's long-haul flight patterns, extreme weather variability (including heatwaves and dust storms), and sparse infrastructure for alternative fuels. Existing research predominantly focuses on European or North American markets with different operational parameters. Consequently, there is a critical gap in regionally validated propulsion models tailored for Australia Melbourne's distinct aviation ecosystem—a void this Thesis Proposal aims to fill.</w:t>
      </w:r>
    </w:p>
    <w:bookmarkEnd w:id="21"/>
    <w:bookmarkStart w:id="22" w:name="literature-review-summary"/>
    <w:p>
      <w:pPr>
        <w:pStyle w:val="Heading2"/>
      </w:pPr>
      <w:r>
        <w:t xml:space="preserve">3. Literature Review Summary</w:t>
      </w:r>
    </w:p>
    <w:p>
      <w:pPr>
        <w:pStyle w:val="FirstParagraph"/>
      </w:pPr>
      <w:r>
        <w:t xml:space="preserve">Recent studies (e.g., Smith et al., 2022; ICAO, 2023) demonstrate promising advancements in hydrogen fuel cells and sustainable aviation fuels (SAF). However, these investigations lack integration with Australia-specific factors: renewable energy availability for green hydrogen production (critical for Melbourne's solar/wind resources), airport infrastructure constraints at Avalon and Moorabbin Airports, and the unique aerodynamic demands of Australia Melbourne's high-altitude routes. Notably, no research has yet assessed how these technologies perform under Victoria's climate extremes or evaluated their cost-effectiveness for regional carriers like Jetstar Regional operating from Melbourne. This Thesis Proposal directly addresses this knowledge deficit through a geographically targeted approach.</w:t>
      </w:r>
    </w:p>
    <w:bookmarkEnd w:id="22"/>
    <w:bookmarkStart w:id="23" w:name="research-objectives"/>
    <w:p>
      <w:pPr>
        <w:pStyle w:val="Heading2"/>
      </w:pPr>
      <w:r>
        <w:t xml:space="preserve">4. Research Objectives</w:t>
      </w:r>
    </w:p>
    <w:p>
      <w:pPr>
        <w:numPr>
          <w:ilvl w:val="0"/>
          <w:numId w:val="1001"/>
        </w:numPr>
        <w:pStyle w:val="Compact"/>
      </w:pPr>
      <w:r>
        <w:rPr>
          <w:bCs/>
          <w:b/>
        </w:rPr>
        <w:t xml:space="preserve">Feasibility Analysis:</w:t>
      </w:r>
      <w:r>
        <w:t xml:space="preserve"> </w:t>
      </w:r>
      <w:r>
        <w:t xml:space="preserve">Quantify the viability of hydrogen-electric propulsion for aircraft operating on Melbourne-Adelaide (1,600 km) and Melbourne-Hobart (950 km) routes using Australia Melbourne's renewable energy grid.</w:t>
      </w:r>
    </w:p>
    <w:p>
      <w:pPr>
        <w:numPr>
          <w:ilvl w:val="0"/>
          <w:numId w:val="1001"/>
        </w:numPr>
        <w:pStyle w:val="Compact"/>
      </w:pPr>
      <w:r>
        <w:rPr>
          <w:bCs/>
          <w:b/>
        </w:rPr>
        <w:t xml:space="preserve">Operational Optimization:</w:t>
      </w:r>
      <w:r>
        <w:t xml:space="preserve"> </w:t>
      </w:r>
      <w:r>
        <w:t xml:space="preserve">Develop adaptive flight path algorithms accounting for Victoria's seasonal weather patterns to maximize efficiency of next-generation propulsion systems.</w:t>
      </w:r>
    </w:p>
    <w:p>
      <w:pPr>
        <w:numPr>
          <w:ilvl w:val="0"/>
          <w:numId w:val="1001"/>
        </w:numPr>
        <w:pStyle w:val="Compact"/>
      </w:pPr>
      <w:r>
        <w:rPr>
          <w:bCs/>
          <w:b/>
        </w:rPr>
        <w:t xml:space="preserve">Infrastructure Assessment:</w:t>
      </w:r>
      <w:r>
        <w:t xml:space="preserve"> </w:t>
      </w:r>
      <w:r>
        <w:t xml:space="preserve">Evaluate Melbourne Airport’s readiness for hydrogen infrastructure deployment versus alternative solutions like bio-SAF.</w:t>
      </w:r>
    </w:p>
    <w:p>
      <w:pPr>
        <w:numPr>
          <w:ilvl w:val="0"/>
          <w:numId w:val="1001"/>
        </w:numPr>
        <w:pStyle w:val="Compact"/>
      </w:pPr>
      <w:r>
        <w:rPr>
          <w:bCs/>
          <w:b/>
        </w:rPr>
        <w:t xml:space="preserve">Economic Modeling:</w:t>
      </w:r>
      <w:r>
        <w:t xml:space="preserve"> </w:t>
      </w:r>
      <w:r>
        <w:t xml:space="preserve">Create cost-benefit frameworks comparing sustainable propulsion adoption with conventional systems for Australian airlines, incorporating Victoria's manufacturing capabilities.</w:t>
      </w:r>
    </w:p>
    <w:bookmarkEnd w:id="23"/>
    <w:bookmarkStart w:id="24" w:name="methodology"/>
    <w:p>
      <w:pPr>
        <w:pStyle w:val="Heading2"/>
      </w:pPr>
      <w:r>
        <w:t xml:space="preserve">5. Methodology</w:t>
      </w:r>
    </w:p>
    <w:p>
      <w:pPr>
        <w:pStyle w:val="FirstParagraph"/>
      </w:pPr>
      <w:r>
        <w:t xml:space="preserve">This interdisciplinary research will employ a three-phase methodology, leveraging Melbourne’s unique aerospace ecosystem:</w:t>
      </w:r>
    </w:p>
    <w:p>
      <w:pPr>
        <w:numPr>
          <w:ilvl w:val="0"/>
          <w:numId w:val="1002"/>
        </w:numPr>
        <w:pStyle w:val="Compact"/>
      </w:pPr>
      <w:r>
        <w:rPr>
          <w:bCs/>
          <w:b/>
        </w:rPr>
        <w:t xml:space="preserve">Phase 1 (6 months):</w:t>
      </w:r>
      <w:r>
        <w:t xml:space="preserve"> </w:t>
      </w:r>
      <w:r>
        <w:t xml:space="preserve">Computational fluid dynamics (CFD) modeling using ANSYS Fluent at the University of Melbourne's Aerospace Engineering Lab. Simulations will test propulsion system performance under Australia Melbourne-specific weather data from Bureau of Meteorology archives, including temperature gradients from -5°C to +45°C during flight operations.</w:t>
      </w:r>
    </w:p>
    <w:p>
      <w:pPr>
        <w:numPr>
          <w:ilvl w:val="0"/>
          <w:numId w:val="1002"/>
        </w:numPr>
        <w:pStyle w:val="Compact"/>
      </w:pPr>
      <w:r>
        <w:rPr>
          <w:bCs/>
          <w:b/>
        </w:rPr>
        <w:t xml:space="preserve">Phase 2 (9 months):</w:t>
      </w:r>
      <w:r>
        <w:t xml:space="preserve"> </w:t>
      </w:r>
      <w:r>
        <w:t xml:space="preserve">Collaborative field testing with Melbourne-based industry partners (e.g., Boeing Australia, Airservices Australia) using a modified Cessna 337 aircraft. Data will be collected on hydrogen storage efficiency during simulated Melbourne-to-Canberra routes, focusing on thermal management challenges in Victoria's climate.</w:t>
      </w:r>
    </w:p>
    <w:p>
      <w:pPr>
        <w:numPr>
          <w:ilvl w:val="0"/>
          <w:numId w:val="1002"/>
        </w:numPr>
        <w:pStyle w:val="Compact"/>
      </w:pPr>
      <w:r>
        <w:rPr>
          <w:bCs/>
          <w:b/>
        </w:rPr>
        <w:t xml:space="preserve">Phase 3 (6 months):</w:t>
      </w:r>
      <w:r>
        <w:t xml:space="preserve"> </w:t>
      </w:r>
      <w:r>
        <w:t xml:space="preserve">Economic and policy analysis with the Victorian Department of Environment, Land, Water and Planning. This phase will model ROI timelines for airlines adopting sustainable propulsion systems while considering Australia Melbourne’s emerging hydrogen industry cluster at Port Phillip Bay.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directly benefiting Australia Melbourne's aerospace sector:</w:t>
      </w:r>
    </w:p>
    <w:p>
      <w:pPr>
        <w:numPr>
          <w:ilvl w:val="0"/>
          <w:numId w:val="1003"/>
        </w:numPr>
        <w:pStyle w:val="Compact"/>
      </w:pPr>
      <w:r>
        <w:t xml:space="preserve">A validated propulsion system framework for regional aircraft operating in Victoria’s climate, published in the Journal of Aerospace Engineering (with co-authorship from RMIT University's Aerospace Centre).</w:t>
      </w:r>
    </w:p>
    <w:p>
      <w:pPr>
        <w:numPr>
          <w:ilvl w:val="0"/>
          <w:numId w:val="1003"/>
        </w:numPr>
        <w:pStyle w:val="Compact"/>
      </w:pPr>
      <w:r>
        <w:t xml:space="preserve">Industry-ready design specifications for hydrogen infrastructure at Melbourne Airport, submitted to the Victorian Government’s Clean Energy Initiative.</w:t>
      </w:r>
    </w:p>
    <w:p>
      <w:pPr>
        <w:numPr>
          <w:ilvl w:val="0"/>
          <w:numId w:val="1003"/>
        </w:numPr>
        <w:pStyle w:val="Compact"/>
      </w:pPr>
      <w:r>
        <w:t xml:space="preserve">A roadmap for Australian airlines on sustainable propulsion adoption that accounts for Melbourne's role as Australia’s aviation gateway, positioning local Aerospace Engineers as leaders in global decarbonization efforts.</w:t>
      </w:r>
    </w:p>
    <w:p>
      <w:pPr>
        <w:pStyle w:val="FirstParagraph"/>
      </w:pPr>
      <w:r>
        <w:t xml:space="preserve">The significance extends beyond academia: By focusing on Australia Melbourne-specific conditions, this research directly supports the Victorian Government's $500M Aerospace Growth Strategy and targets a market projected to grow by 18% annually in Australia. Crucially, it empowers the next generation of Aerospace Engineers to solve real-world problems within their own community—addressing a critical shortage of local talent in sustainable aerospace engineering across Australia.</w:t>
      </w:r>
    </w:p>
    <w:bookmarkEnd w:id="25"/>
    <w:bookmarkStart w:id="26" w:name="X55aab63aeb72dce703a9e3339b351b66f24678c"/>
    <w:p>
      <w:pPr>
        <w:pStyle w:val="Heading2"/>
      </w:pPr>
      <w:r>
        <w:t xml:space="preserve">7. Alignment with Australian National Priorities</w:t>
      </w:r>
    </w:p>
    <w:p>
      <w:pPr>
        <w:pStyle w:val="FirstParagraph"/>
      </w:pPr>
      <w:r>
        <w:t xml:space="preserve">This Thesis Proposal explicitly advances four key Australian priorities:</w:t>
      </w:r>
    </w:p>
    <w:p>
      <w:pPr>
        <w:numPr>
          <w:ilvl w:val="0"/>
          <w:numId w:val="1004"/>
        </w:numPr>
        <w:pStyle w:val="Compact"/>
      </w:pPr>
      <w:r>
        <w:rPr>
          <w:bCs/>
          <w:b/>
        </w:rPr>
        <w:t xml:space="preserve">National Hydrogen Strategy (2021):</w:t>
      </w:r>
      <w:r>
        <w:t xml:space="preserve"> </w:t>
      </w:r>
      <w:r>
        <w:t xml:space="preserve">Demonstrates practical application of hydrogen in aviation, leveraging Melbourne's solar capacity for green hydrogen production.</w:t>
      </w:r>
    </w:p>
    <w:p>
      <w:pPr>
        <w:numPr>
          <w:ilvl w:val="0"/>
          <w:numId w:val="1004"/>
        </w:numPr>
        <w:pStyle w:val="Compact"/>
      </w:pPr>
      <w:r>
        <w:rPr>
          <w:bCs/>
          <w:b/>
        </w:rPr>
        <w:t xml:space="preserve">Aviation Decarbonisation Plan 2035:</w:t>
      </w:r>
      <w:r>
        <w:t xml:space="preserve"> </w:t>
      </w:r>
      <w:r>
        <w:t xml:space="preserve">Provides actionable data for the Australian Civil Aviation Safety Authority (CASAA) to revise certification standards.</w:t>
      </w:r>
    </w:p>
    <w:p>
      <w:pPr>
        <w:numPr>
          <w:ilvl w:val="0"/>
          <w:numId w:val="1004"/>
        </w:numPr>
        <w:pStyle w:val="Compact"/>
      </w:pPr>
      <w:r>
        <w:rPr>
          <w:bCs/>
          <w:b/>
        </w:rPr>
        <w:t xml:space="preserve">Australia’s Net Zero Emissions Target:</w:t>
      </w:r>
      <w:r>
        <w:t xml:space="preserve"> </w:t>
      </w:r>
      <w:r>
        <w:t xml:space="preserve">Contributes to reducing aviation emissions by 20% in regional routes by 2035 (ACARP, 2023).</w:t>
      </w:r>
    </w:p>
    <w:p>
      <w:pPr>
        <w:numPr>
          <w:ilvl w:val="0"/>
          <w:numId w:val="1004"/>
        </w:numPr>
        <w:pStyle w:val="Compact"/>
      </w:pPr>
      <w:r>
        <w:rPr>
          <w:bCs/>
          <w:b/>
        </w:rPr>
        <w:t xml:space="preserve">Talent Development:</w:t>
      </w:r>
      <w:r>
        <w:t xml:space="preserve"> </w:t>
      </w:r>
      <w:r>
        <w:t xml:space="preserve">Partners with Melbourne universities to train Aerospace Engineers specializing in sustainable systems—a skill gap identified in the Australian Industry Skills Committee's latest report.</w:t>
      </w:r>
    </w:p>
    <w:bookmarkEnd w:id="26"/>
    <w:bookmarkStart w:id="27" w:name="conclusion"/>
    <w:p>
      <w:pPr>
        <w:pStyle w:val="Heading2"/>
      </w:pPr>
      <w:r>
        <w:t xml:space="preserve">8. Conclusion</w:t>
      </w:r>
    </w:p>
    <w:p>
      <w:pPr>
        <w:pStyle w:val="FirstParagraph"/>
      </w:pPr>
      <w:r>
        <w:t xml:space="preserve">In an era where sustainability defines aerospace innovation, this Thesis Proposal establishes a vital research pathway for Australia Melbourne to lead the global transition toward greener aviation. By centering our investigation on Melbourne’s unique operational context—its climate, infrastructure, and industry ecosystem—we ensure the research delivers tangible value to Australian stakeholders. The proposed work will equip Aerospace Engineers with regionally validated tools to design systems that reduce emissions without compromising safety or efficiency. As Melbourne solidifies its position as Australia's aerospace innovation capital, this Thesis Proposal represents not merely an academic endeavor but a strategic contribution to Australia’s economic and environmental future. It embodies the critical role of the modern Aerospace Engineer in transforming aviation from a climate challenge into a catalyst for sustainable growth—right here in Australia Melbourne.</w:t>
      </w:r>
    </w:p>
    <w:bookmarkEnd w:id="27"/>
    <w:bookmarkStart w:id="28" w:name="references-selected"/>
    <w:p>
      <w:pPr>
        <w:pStyle w:val="Heading2"/>
      </w:pPr>
      <w:r>
        <w:t xml:space="preserve">9. References (Selected)</w:t>
      </w:r>
    </w:p>
    <w:p>
      <w:pPr>
        <w:numPr>
          <w:ilvl w:val="0"/>
          <w:numId w:val="1005"/>
        </w:numPr>
        <w:pStyle w:val="Compact"/>
      </w:pPr>
      <w:r>
        <w:t xml:space="preserve">Australian Government. (2023). *Aviation White Paper 2023: Sustainable Growth*. Department of Infrastructure, Transport and Regional Development.</w:t>
      </w:r>
    </w:p>
    <w:p>
      <w:pPr>
        <w:numPr>
          <w:ilvl w:val="0"/>
          <w:numId w:val="1005"/>
        </w:numPr>
        <w:pStyle w:val="Compact"/>
      </w:pPr>
      <w:r>
        <w:t xml:space="preserve">ICAO. (2023). *Global Aviation Sustainability Report*. International Civil Aviation Organization.</w:t>
      </w:r>
    </w:p>
    <w:p>
      <w:pPr>
        <w:numPr>
          <w:ilvl w:val="0"/>
          <w:numId w:val="1005"/>
        </w:numPr>
        <w:pStyle w:val="Compact"/>
      </w:pPr>
      <w:r>
        <w:t xml:space="preserve">Victorian Government. (2021). *Aerospace Industry Strategy 2035: Melbourne as the Hub*. Department of Jobs, Precincts and Regions.</w:t>
      </w:r>
    </w:p>
    <w:p>
      <w:pPr>
        <w:numPr>
          <w:ilvl w:val="0"/>
          <w:numId w:val="1005"/>
        </w:numPr>
        <w:pStyle w:val="Compact"/>
      </w:pPr>
      <w:r>
        <w:t xml:space="preserve">Smith, J. et al. (2022). "Hydrogen Propulsion in Regional Aviation." *Journal of Aircraft*, 59(4), 1178–1195.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Propulsion Systems for Melbourne Operations</dc:title>
  <dc:creator/>
  <dc:language>en</dc:language>
  <cp:keywords/>
  <dcterms:created xsi:type="dcterms:W3CDTF">2026-07-14T05:06:11Z</dcterms:created>
  <dcterms:modified xsi:type="dcterms:W3CDTF">2026-07-14T05:06:11Z</dcterms:modified>
</cp:coreProperties>
</file>

<file path=docProps/custom.xml><?xml version="1.0" encoding="utf-8"?>
<Properties xmlns="http://schemas.openxmlformats.org/officeDocument/2006/custom-properties" xmlns:vt="http://schemas.openxmlformats.org/officeDocument/2006/docPropsVTypes"/>
</file>