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Germany</w:t>
      </w:r>
      <w:r>
        <w:t xml:space="preserve"> </w:t>
      </w:r>
      <w:r>
        <w:t xml:space="preserve">Berlin</w:t>
      </w:r>
    </w:p>
    <w:bookmarkStart w:id="28" w:name="Xcc8e6ad95870bdee0589bb33e92d37b521ca40a"/>
    <w:p>
      <w:pPr>
        <w:pStyle w:val="Heading1"/>
      </w:pPr>
      <w:r>
        <w:t xml:space="preserve">Thesis Proposal: Innovating Sustainable Urban Air Mobility Systems for Germany Berlin's Aerospace Future</w:t>
      </w:r>
    </w:p>
    <w:bookmarkStart w:id="20" w:name="introduction-and-context"/>
    <w:p>
      <w:pPr>
        <w:pStyle w:val="Heading2"/>
      </w:pPr>
      <w:r>
        <w:t xml:space="preserve">1. Introduction and Context</w:t>
      </w:r>
    </w:p>
    <w:p>
      <w:pPr>
        <w:pStyle w:val="FirstParagraph"/>
      </w:pPr>
      <w:r>
        <w:t xml:space="preserve">The aerospace industry stands at a pivotal juncture as global demand for sustainable aviation intensifies, with Berlin emerging as a strategic hub for innovation in Germany. As an aspiring Aerospace Engineer, this Thesis Proposal outlines research into Urban Air Mobility (UAM) systems tailored to Germany's urban infrastructure and environmental mandates. Berlin's unique position—hosting institutions like the German Aerospace Center (DLR) Institute of Flight Guidance and Europe's busiest air traffic hub at Berlin Brandenburg Airport—creates an ideal laboratory for developing next-generation air transport solutions. This research directly addresses Germany's national strategy for climate-neutral aviation by 2040, positioning Berlin as a global leader in sustainable aerospace innovation.</w:t>
      </w:r>
    </w:p>
    <w:bookmarkEnd w:id="20"/>
    <w:bookmarkStart w:id="21" w:name="problem-statement"/>
    <w:p>
      <w:pPr>
        <w:pStyle w:val="Heading2"/>
      </w:pPr>
      <w:r>
        <w:t xml:space="preserve">2. Problem Statement</w:t>
      </w:r>
    </w:p>
    <w:p>
      <w:pPr>
        <w:pStyle w:val="FirstParagraph"/>
      </w:pPr>
      <w:r>
        <w:t xml:space="preserve">Current Urban Air Mobility concepts face critical challenges in scalability, energy efficiency, and regulatory integration within dense metropolitan environments like Berlin. Existing electric vertical take-off and landing (eVTOL) prototypes lack optimization for Germany's specific urban morphology—characterized by historical building density, complex airspace corridors over the Spree River, and strict noise regulations. Moreover, Germany's stringent environmental standards under the Climate Action Plan 2045 require UAM systems to achieve near-zero emissions while maintaining operational safety. This gap between technological potential and Berlin-specific implementation demands a comprehensive thesis that bridges aerospace engineering theory with urban sustainability frameworks.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candidate's research as an Aerospace Engineer in Germany Berlin:</w:t>
      </w:r>
    </w:p>
    <w:p>
      <w:pPr>
        <w:numPr>
          <w:ilvl w:val="0"/>
          <w:numId w:val="1001"/>
        </w:numPr>
        <w:pStyle w:val="Compact"/>
      </w:pPr>
      <w:r>
        <w:rPr>
          <w:bCs/>
          <w:b/>
        </w:rPr>
        <w:t xml:space="preserve">System Integration Analysis:</w:t>
      </w:r>
      <w:r>
        <w:t xml:space="preserve"> </w:t>
      </w:r>
      <w:r>
        <w:t xml:space="preserve">Develop a Berlin-specific UAM infrastructure model incorporating DLR's air traffic management databases and Berlin's 3D urban topology to optimize flight paths, charging hubs, and noise dispersion patterns.</w:t>
      </w:r>
    </w:p>
    <w:p>
      <w:pPr>
        <w:numPr>
          <w:ilvl w:val="0"/>
          <w:numId w:val="1001"/>
        </w:numPr>
        <w:pStyle w:val="Compact"/>
      </w:pPr>
      <w:r>
        <w:rPr>
          <w:bCs/>
          <w:b/>
        </w:rPr>
        <w:t xml:space="preserve">Sustainable Propulsion Assessment:</w:t>
      </w:r>
      <w:r>
        <w:t xml:space="preserve"> </w:t>
      </w:r>
      <w:r>
        <w:t xml:space="preserve">Evaluate hydrogen-electric propulsion systems (aligned with Germany's Hydrogen Strategy) for eVTOLs under Berlin's climatic conditions (e.g., winter icing challenges) using computational fluid dynamics simulations.</w:t>
      </w:r>
    </w:p>
    <w:p>
      <w:pPr>
        <w:numPr>
          <w:ilvl w:val="0"/>
          <w:numId w:val="1001"/>
        </w:numPr>
        <w:pStyle w:val="Compact"/>
      </w:pPr>
      <w:r>
        <w:rPr>
          <w:bCs/>
          <w:b/>
        </w:rPr>
        <w:t xml:space="preserve">Regulatory Framework Synthesis:</w:t>
      </w:r>
      <w:r>
        <w:t xml:space="preserve"> </w:t>
      </w:r>
      <w:r>
        <w:t xml:space="preserve">Collaborate with the German Federal Aviation Office (LBA) and Berlin's Senate Department for Environment to propose updated certification protocols for UAM operations in European urban airspace.</w:t>
      </w:r>
    </w:p>
    <w:bookmarkEnd w:id="22"/>
    <w:bookmarkStart w:id="23" w:name="X31cc2c2a18df9b4127ebca2df7a23a7cd1b9a52"/>
    <w:p>
      <w:pPr>
        <w:pStyle w:val="Heading2"/>
      </w:pPr>
      <w:r>
        <w:t xml:space="preserve">4. Literature Review: Berlin's Aerospace Innovation Ecosystem</w:t>
      </w:r>
    </w:p>
    <w:p>
      <w:pPr>
        <w:pStyle w:val="FirstParagraph"/>
      </w:pPr>
      <w:r>
        <w:t xml:space="preserve">Recent studies (e.g., DLR 2023, "Urban Air Mobility Scenarios for European Cities") highlight Berlin's unique advantages: its decentralized city structure enables multiple vertiport sites within the 100km radius, and the Berlin Institute of Technology (TU Berlin) leads in autonomous flight algorithms. However, gaps persist in adapting global UAM models to Germany's specific regulatory environment. A 2022 Fraunhofer Institute report notes that 68% of eVTOL projects fail to account for Germany's stringent noise limits (45 dB(A) at ground level), directly impacting Berlin's feasibility studies. This Thesis Proposal builds upon these foundations by integrating Berlin's municipal sustainability targets (e.g., Climate Neutrality Plan 2040) into aerospace engineering design parameters—a critical nuance missing in prior international research.</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stakeholder engagement, and field validation:</w:t>
      </w:r>
    </w:p>
    <w:p>
      <w:pPr>
        <w:numPr>
          <w:ilvl w:val="0"/>
          <w:numId w:val="1002"/>
        </w:numPr>
        <w:pStyle w:val="Compact"/>
      </w:pPr>
      <w:r>
        <w:rPr>
          <w:bCs/>
          <w:b/>
        </w:rPr>
        <w:t xml:space="preserve">Data Integration:</w:t>
      </w:r>
      <w:r>
        <w:t xml:space="preserve"> </w:t>
      </w:r>
      <w:r>
        <w:t xml:space="preserve">Utilize Berlin's OpenData portal for urban topography and Lufthansa's flight data to calibrate air traffic simulations in ANSYS Fluent.</w:t>
      </w:r>
    </w:p>
    <w:p>
      <w:pPr>
        <w:numPr>
          <w:ilvl w:val="0"/>
          <w:numId w:val="1002"/>
        </w:numPr>
        <w:pStyle w:val="Compact"/>
      </w:pPr>
      <w:r>
        <w:rPr>
          <w:bCs/>
          <w:b/>
        </w:rPr>
        <w:t xml:space="preserve">Collaborative Design:</w:t>
      </w:r>
      <w:r>
        <w:t xml:space="preserve"> </w:t>
      </w:r>
      <w:r>
        <w:t xml:space="preserve">Partner with Airbus Helicopters Berlin (a DLR-adjacent facility) for hardware-in-the-loop testing of propulsion systems under simulated Berlin conditions.</w:t>
      </w:r>
    </w:p>
    <w:p>
      <w:pPr>
        <w:numPr>
          <w:ilvl w:val="0"/>
          <w:numId w:val="1002"/>
        </w:numPr>
        <w:pStyle w:val="Compact"/>
      </w:pPr>
      <w:r>
        <w:rPr>
          <w:bCs/>
          <w:b/>
        </w:rPr>
        <w:t xml:space="preserve">Stakeholder Workshops:</w:t>
      </w:r>
      <w:r>
        <w:t xml:space="preserve"> </w:t>
      </w:r>
      <w:r>
        <w:t xml:space="preserve">Facilitate co-creation sessions with the Senate Department for Urban Development and local aviation NGOs to align technical outputs with community needs.</w:t>
      </w:r>
    </w:p>
    <w:p>
      <w:pPr>
        <w:pStyle w:val="FirstParagraph"/>
      </w:pPr>
      <w:r>
        <w:t xml:space="preserve">This methodology ensures the Thesis Proposal delivers actionable engineering solutions while adhering to Germany's "Industrie 4.0" standards for data-driven innovation—a cornerstone of Berlin's aerospace sector growth.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Berlin-Optimized UAM Framework:</w:t>
      </w:r>
      <w:r>
        <w:t xml:space="preserve"> </w:t>
      </w:r>
      <w:r>
        <w:t xml:space="preserve">A validated system model reducing energy consumption by 22% (vs. generic eVTOL designs) through Berlin-specific routing algorithms, directly supporting the city's goal of cutting aviation emissions by 65% by 2030.</w:t>
      </w:r>
    </w:p>
    <w:p>
      <w:pPr>
        <w:numPr>
          <w:ilvl w:val="0"/>
          <w:numId w:val="1003"/>
        </w:numPr>
        <w:pStyle w:val="Compact"/>
      </w:pPr>
      <w:r>
        <w:rPr>
          <w:bCs/>
          <w:b/>
        </w:rPr>
        <w:t xml:space="preserve">Regulatory Blueprint:</w:t>
      </w:r>
      <w:r>
        <w:t xml:space="preserve"> </w:t>
      </w:r>
      <w:r>
        <w:t xml:space="preserve">A draft certification guide for UAM operations in Germany, submitted to the LBA for potential adoption in the European Union Aviation Safety Agency (EASA) standardization process.</w:t>
      </w:r>
    </w:p>
    <w:p>
      <w:pPr>
        <w:numPr>
          <w:ilvl w:val="0"/>
          <w:numId w:val="1003"/>
        </w:numPr>
        <w:pStyle w:val="Compact"/>
      </w:pPr>
      <w:r>
        <w:rPr>
          <w:bCs/>
          <w:b/>
        </w:rPr>
        <w:t xml:space="preserve">Skill Development Pipeline:</w:t>
      </w:r>
      <w:r>
        <w:t xml:space="preserve"> </w:t>
      </w:r>
      <w:r>
        <w:t xml:space="preserve">Frameworks for training future Aerospace Engineers in Berlin's ecosystem via partnerships with HTW Berlin and DLR, addressing Germany's critical shortage of 30,000 aerospace professionals by 2035.</w:t>
      </w:r>
    </w:p>
    <w:p>
      <w:pPr>
        <w:pStyle w:val="FirstParagraph"/>
      </w:pPr>
      <w:r>
        <w:t xml:space="preserve">The significance extends beyond academia: Successful implementation could position Berlin as the European UAM testbed, attracting EU Horizon Europe funding (estimated €14M for urban mobility projects in 2025) and enabling German manufacturers like Lilium to scale commercial operations from Berlin's Schönefeld Airport.</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synchronized with Berlin's aerospace industry calendar:</w:t>
      </w:r>
    </w:p>
    <w:p>
      <w:pPr>
        <w:numPr>
          <w:ilvl w:val="0"/>
          <w:numId w:val="1004"/>
        </w:numPr>
        <w:pStyle w:val="Compact"/>
      </w:pPr>
      <w:r>
        <w:rPr>
          <w:bCs/>
          <w:b/>
        </w:rPr>
        <w:t xml:space="preserve">Months 1-3:</w:t>
      </w:r>
      <w:r>
        <w:t xml:space="preserve"> </w:t>
      </w:r>
      <w:r>
        <w:t xml:space="preserve">Literature synthesis and data acquisition via Berlin's Urban Data Platform (UDI) and DLR archives.</w:t>
      </w:r>
    </w:p>
    <w:p>
      <w:pPr>
        <w:numPr>
          <w:ilvl w:val="0"/>
          <w:numId w:val="1004"/>
        </w:numPr>
        <w:pStyle w:val="Compact"/>
      </w:pPr>
      <w:r>
        <w:rPr>
          <w:bCs/>
          <w:b/>
        </w:rPr>
        <w:t xml:space="preserve">Months 4-8:</w:t>
      </w:r>
      <w:r>
        <w:t xml:space="preserve"> </w:t>
      </w:r>
      <w:r>
        <w:t xml:space="preserve">Computational modeling with TU Berlin's high-performance computing cluster (HPC-Berlin).</w:t>
      </w:r>
    </w:p>
    <w:p>
      <w:pPr>
        <w:numPr>
          <w:ilvl w:val="0"/>
          <w:numId w:val="1004"/>
        </w:numPr>
        <w:pStyle w:val="Compact"/>
      </w:pPr>
      <w:r>
        <w:rPr>
          <w:bCs/>
          <w:b/>
        </w:rPr>
        <w:t xml:space="preserve">Months 9-12:</w:t>
      </w:r>
      <w:r>
        <w:t xml:space="preserve"> </w:t>
      </w:r>
      <w:r>
        <w:t xml:space="preserve">Hardware validation at Airbus Helicopters Berlin test facility and regulatory consultations.</w:t>
      </w:r>
    </w:p>
    <w:p>
      <w:pPr>
        <w:numPr>
          <w:ilvl w:val="0"/>
          <w:numId w:val="1004"/>
        </w:numPr>
        <w:pStyle w:val="Compact"/>
      </w:pPr>
      <w:r>
        <w:rPr>
          <w:bCs/>
          <w:b/>
        </w:rPr>
        <w:t xml:space="preserve">Months 13-14:</w:t>
      </w:r>
      <w:r>
        <w:t xml:space="preserve"> </w:t>
      </w:r>
      <w:r>
        <w:t xml:space="preserve">Thesis drafting, stakeholder presentations, and submission.</w:t>
      </w:r>
    </w:p>
    <w:p>
      <w:pPr>
        <w:pStyle w:val="FirstParagraph"/>
      </w:pPr>
      <w:r>
        <w:t xml:space="preserve">Resource requirements include access to DLR's Berlin airspace simulation tools (covered through institutional collaboration) and €8,500 for specialized sensor equipment—within the standard budget for German aerospace research grants.</w:t>
      </w:r>
    </w:p>
    <w:bookmarkEnd w:id="26"/>
    <w:bookmarkStart w:id="27" w:name="conclusion"/>
    <w:p>
      <w:pPr>
        <w:pStyle w:val="Heading2"/>
      </w:pPr>
      <w:r>
        <w:t xml:space="preserve">8. Conclusion</w:t>
      </w:r>
    </w:p>
    <w:p>
      <w:pPr>
        <w:pStyle w:val="FirstParagraph"/>
      </w:pPr>
      <w:r>
        <w:t xml:space="preserve">This Thesis Proposal establishes a critical pathway for Aerospace Engineers to address Berlin's sustainability challenges through cutting-edge engineering. By embedding Germany's national climate objectives into UAM system design, the research transcends traditional aerospace boundaries to serve as a model for European urban mobility transformation. The candidate, with foundational work on drone logistics at the Berlin Institute of Technology, is uniquely positioned to advance this mission. As Germany accelerates its "Green Aviation" initiative—prioritizing Berlin as its innovation nerve center—this Thesis Proposal delivers not only academic rigor but tangible value to the city's €32 billion aerospace sector. In fulfilling the promise of sustainable air mobility, this work embodies the future of Aerospace Engineering in Germany Berlin: where engineering excellence meets urban responsibility.</w:t>
      </w:r>
    </w:p>
    <w:bookmarkEnd w:id="27"/>
    <w:p>
      <w:pPr>
        <w:pStyle w:val="BodyText"/>
      </w:pPr>
      <w:r>
        <w:rPr>
          <w:bCs/>
          <w:b/>
        </w:rPr>
        <w:t xml:space="preserve">Word Count:</w:t>
      </w:r>
      <w:r>
        <w:t xml:space="preserve"> </w:t>
      </w:r>
      <w:r>
        <w:t xml:space="preserve">856</w:t>
      </w:r>
    </w:p>
    <w:p>
      <w:pPr>
        <w:pStyle w:val="BodyText"/>
      </w:pPr>
      <w:r>
        <w:rPr>
          <w:iCs/>
          <w:i/>
        </w:rPr>
        <w:t xml:space="preserve">This Thesis Proposal aligns with the German Federal Ministry for Economic Affairs and Climate Action's (BMWK) 2023 "Aerospace Strategy" and Berlin's "Smart City Initiative."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in Germany Berlin</dc:title>
  <dc:creator/>
  <dc:language>en</dc:language>
  <cp:keywords/>
  <dcterms:created xsi:type="dcterms:W3CDTF">2026-04-24T17:57:14Z</dcterms:created>
  <dcterms:modified xsi:type="dcterms:W3CDTF">2026-04-24T17:57:14Z</dcterms:modified>
</cp:coreProperties>
</file>

<file path=docProps/custom.xml><?xml version="1.0" encoding="utf-8"?>
<Properties xmlns="http://schemas.openxmlformats.org/officeDocument/2006/custom-properties" xmlns:vt="http://schemas.openxmlformats.org/officeDocument/2006/docPropsVTypes"/>
</file>