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Air</w:t>
      </w:r>
      <w:r>
        <w:t xml:space="preserve"> </w:t>
      </w:r>
      <w:r>
        <w:t xml:space="preserve">Mobility</w:t>
      </w:r>
      <w:r>
        <w:t xml:space="preserve"> </w:t>
      </w:r>
      <w:r>
        <w:t xml:space="preserve">Systems</w:t>
      </w:r>
      <w:r>
        <w:t xml:space="preserve"> </w:t>
      </w:r>
      <w:r>
        <w:t xml:space="preserve">for</w:t>
      </w:r>
      <w:r>
        <w:t xml:space="preserve"> </w:t>
      </w:r>
      <w:r>
        <w:t xml:space="preserve">Germany</w:t>
      </w:r>
      <w:r>
        <w:t xml:space="preserve"> </w:t>
      </w:r>
      <w:r>
        <w:t xml:space="preserve">Munich</w:t>
      </w:r>
    </w:p>
    <w:bookmarkStart w:id="29" w:name="X09d6643ac0165ab718c59eb6a366b92ebced880"/>
    <w:p>
      <w:pPr>
        <w:pStyle w:val="Heading1"/>
      </w:pPr>
      <w:r>
        <w:t xml:space="preserve">Thesis Proposal: Advancing Sustainable Propulsion Systems for Urban Air Mobility in Germany Munich</w:t>
      </w:r>
    </w:p>
    <w:bookmarkStart w:id="20" w:name="introduction-and-context"/>
    <w:p>
      <w:pPr>
        <w:pStyle w:val="Heading2"/>
      </w:pPr>
      <w:r>
        <w:t xml:space="preserve">1. Introduction and Context</w:t>
      </w:r>
    </w:p>
    <w:p>
      <w:pPr>
        <w:pStyle w:val="FirstParagraph"/>
      </w:pPr>
      <w:r>
        <w:t xml:space="preserve">The global aerospace industry is undergoing a transformative shift toward sustainable mobility solutions, with Urban Air Mobility (UAM) emerging as a critical frontier. As an aspiring Aerospace Engineer deeply committed to environmental stewardship, this Thesis Proposal outlines a research project focused on developing zero-emission propulsion systems for UAM vehicles. Germany Munich stands at the epicenter of this innovation, hosting leading institutions like the Technical University of Munich (TUM), the German Aerospace Center (DLR), and aerospace giants such as Airbus Helicopters. With Munich's strategic position as Europe’s aerospace hub—where 25% of global aerospace R&amp;D occurs—we propose to contribute to Germany’s leadership in sustainable aviation through this project.</w:t>
      </w:r>
    </w:p>
    <w:bookmarkEnd w:id="20"/>
    <w:bookmarkStart w:id="21" w:name="problem-statement"/>
    <w:p>
      <w:pPr>
        <w:pStyle w:val="Heading2"/>
      </w:pPr>
      <w:r>
        <w:t xml:space="preserve">2. Problem Statement</w:t>
      </w:r>
    </w:p>
    <w:p>
      <w:pPr>
        <w:pStyle w:val="FirstParagraph"/>
      </w:pPr>
      <w:r>
        <w:t xml:space="preserve">Current UAM concepts face two critical barriers: unsustainable battery energy density limiting flight range and noise pollution disrupting urban environments. Traditional lithium-ion batteries cannot support the 50-100 km operational ranges required for viable city air taxis, while conventional propulsion generates 75+ dB noise—exceeding Munich’s strict 60 dB daytime urban noise limits. As an Aerospace Engineer specializing in propulsion systems, I aim to address these gaps by designing a hybrid-electric powertrain leveraging hydrogen fuel cells and advanced electric motors, tailored for Munich’s dense airspace and regulatory framework.</w:t>
      </w:r>
    </w:p>
    <w:bookmarkEnd w:id="21"/>
    <w:bookmarkStart w:id="22" w:name="research-objectives"/>
    <w:p>
      <w:pPr>
        <w:pStyle w:val="Heading2"/>
      </w:pPr>
      <w:r>
        <w:t xml:space="preserve">3. Research Objectives</w:t>
      </w:r>
    </w:p>
    <w:p>
      <w:pPr>
        <w:pStyle w:val="FirstParagraph"/>
      </w:pPr>
      <w:r>
        <w:t xml:space="preserve">This Thesis Proposal identifies three core objectives:</w:t>
      </w:r>
    </w:p>
    <w:p>
      <w:pPr>
        <w:numPr>
          <w:ilvl w:val="0"/>
          <w:numId w:val="1001"/>
        </w:numPr>
        <w:pStyle w:val="Compact"/>
      </w:pPr>
      <w:r>
        <w:rPr>
          <w:bCs/>
          <w:b/>
        </w:rPr>
        <w:t xml:space="preserve">Propulsion System Optimization:</w:t>
      </w:r>
      <w:r>
        <w:t xml:space="preserve"> </w:t>
      </w:r>
      <w:r>
        <w:t xml:space="preserve">Develop a scalable 50-100 kW hydrogen-electric propulsion module with 50% higher energy density than current batteries, validated through computational fluid dynamics (CFD) simulations aligned with DLR’s Munich-based aerodynamics facilities.</w:t>
      </w:r>
    </w:p>
    <w:p>
      <w:pPr>
        <w:numPr>
          <w:ilvl w:val="0"/>
          <w:numId w:val="1001"/>
        </w:numPr>
        <w:pStyle w:val="Compact"/>
      </w:pPr>
      <w:r>
        <w:rPr>
          <w:bCs/>
          <w:b/>
        </w:rPr>
        <w:t xml:space="preserve">Noise Mitigation Strategy:</w:t>
      </w:r>
      <w:r>
        <w:t xml:space="preserve"> </w:t>
      </w:r>
      <w:r>
        <w:t xml:space="preserve">Design adaptive acoustic shielding using metamaterials to reduce in-flight noise by 30 dB at 100m altitude—critical for compliance with Munich’s stringent urban air traffic regulations.</w:t>
      </w:r>
    </w:p>
    <w:bookmarkEnd w:id="22"/>
    <w:bookmarkStart w:id="23" w:name="literature-review-and-gap-analysis"/>
    <w:p>
      <w:pPr>
        <w:pStyle w:val="Heading2"/>
      </w:pPr>
      <w:r>
        <w:t xml:space="preserve">4. Literature Review and Gap Analysis</w:t>
      </w:r>
    </w:p>
    <w:p>
      <w:pPr>
        <w:pStyle w:val="FirstParagraph"/>
      </w:pPr>
      <w:r>
        <w:t xml:space="preserve">Existing research (e.g., DLR’s 2023 UAM study) confirms hydrogen fuel cells’ potential but overlooks urban noise dynamics in mid-latitude climates like Munich’s. Airbus’ CityAirbus project focuses on vehicle design without propulsion integration, while MIT’s 2022 paper ignores European regulatory nuances. This Thesis Proposal bridges these gaps by combining: (a) Munich-specific environmental data (e.g., temperature variability of -10°C to +35°C), (b) DLR’s noise propagation models for dense urban topography, and (c) a holistic systems engineering approach validated at the TUM Aerospace Research Campus. Our innovation lies in co-designing propulsion and acoustics from inception—unlike fragmented industry approaches.</w:t>
      </w:r>
    </w:p>
    <w:bookmarkEnd w:id="23"/>
    <w:bookmarkStart w:id="24" w:name="methodology"/>
    <w:p>
      <w:pPr>
        <w:pStyle w:val="Heading2"/>
      </w:pPr>
      <w:r>
        <w:t xml:space="preserve">5. Methodology</w:t>
      </w:r>
    </w:p>
    <w:p>
      <w:pPr>
        <w:pStyle w:val="FirstParagraph"/>
      </w:pPr>
      <w:r>
        <w:t xml:space="preserve">The research employs a three-phase methodology, leveraging Munich’s aerospace ecosystem:</w:t>
      </w:r>
    </w:p>
    <w:p>
      <w:pPr>
        <w:numPr>
          <w:ilvl w:val="0"/>
          <w:numId w:val="1002"/>
        </w:numPr>
        <w:pStyle w:val="Compact"/>
      </w:pPr>
      <w:r>
        <w:rPr>
          <w:bCs/>
          <w:b/>
        </w:rPr>
        <w:t xml:space="preserve">Phase 1 (Months 1-4):</w:t>
      </w:r>
      <w:r>
        <w:t xml:space="preserve"> </w:t>
      </w:r>
      <w:r>
        <w:t xml:space="preserve">Computational analysis using ANSYS Fluent (at TUM’s High-Performance Computing Center) to model hydrogen combustion dynamics under Munich microclimate conditions. Validation against DLR’s test rig data from the Cologne branch.</w:t>
      </w:r>
    </w:p>
    <w:p>
      <w:pPr>
        <w:numPr>
          <w:ilvl w:val="0"/>
          <w:numId w:val="1002"/>
        </w:numPr>
        <w:pStyle w:val="Compact"/>
      </w:pPr>
      <w:r>
        <w:rPr>
          <w:bCs/>
          <w:b/>
        </w:rPr>
        <w:t xml:space="preserve">Phase 2 (Months 5-8):</w:t>
      </w:r>
      <w:r>
        <w:t xml:space="preserve"> </w:t>
      </w:r>
      <w:r>
        <w:t xml:space="preserve">Prototype development of a scaled propulsion module at the TUM Innovation Lab, incorporating noise-reduction materials tested via acoustic chamber facilities at DLR’s Munich site.</w:t>
      </w:r>
    </w:p>
    <w:p>
      <w:pPr>
        <w:numPr>
          <w:ilvl w:val="0"/>
          <w:numId w:val="1002"/>
        </w:numPr>
        <w:pStyle w:val="Compact"/>
      </w:pPr>
      <w:r>
        <w:rPr>
          <w:bCs/>
          <w:b/>
        </w:rPr>
        <w:t xml:space="preserve">Phase 3 (Months 9-12):</w:t>
      </w:r>
      <w:r>
        <w:t xml:space="preserve"> </w:t>
      </w:r>
      <w:r>
        <w:t xml:space="preserve">Certification pathway simulation using EASA digital twins and stakeholder workshops with Munich Air Traffic Control (MUC-ATC) to address airspace integration challenges unique to Bavaria’s urban-rural gradient.</w:t>
      </w:r>
    </w:p>
    <w:p>
      <w:pPr>
        <w:pStyle w:val="FirstParagraph"/>
      </w:pPr>
      <w:r>
        <w:t xml:space="preserve">This methodology ensures direct alignment with Germany Munich’s infrastructure, avoiding costly physical testing delays common in overseas projects.</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w:t>
      </w:r>
    </w:p>
    <w:p>
      <w:pPr>
        <w:numPr>
          <w:ilvl w:val="0"/>
          <w:numId w:val="1003"/>
        </w:numPr>
        <w:pStyle w:val="Compact"/>
      </w:pPr>
      <w:r>
        <w:t xml:space="preserve">A patent-pending propulsion architecture achieving 75 km range with 0.8 kg/kWh energy density—surpassing current UAM benchmarks by 40%.</w:t>
      </w:r>
    </w:p>
    <w:p>
      <w:pPr>
        <w:numPr>
          <w:ilvl w:val="0"/>
          <w:numId w:val="1003"/>
        </w:numPr>
        <w:pStyle w:val="Compact"/>
      </w:pPr>
      <w:r>
        <w:t xml:space="preserve">An acoustic mitigation framework adopted by Munich’s city planning department for upcoming UAM corridors (e.g., Munich-Rosenheim route).</w:t>
      </w:r>
    </w:p>
    <w:p>
      <w:pPr>
        <w:numPr>
          <w:ilvl w:val="0"/>
          <w:numId w:val="1003"/>
        </w:numPr>
        <w:pStyle w:val="Compact"/>
      </w:pPr>
      <w:r>
        <w:t xml:space="preserve">A certification blueprint for EASA, accelerating Germany’s target of commercial UAM operations by 2030.</w:t>
      </w:r>
    </w:p>
    <w:p>
      <w:pPr>
        <w:pStyle w:val="FirstParagraph"/>
      </w:pPr>
      <w:r>
        <w:t xml:space="preserve">As a Thesis Proposal, this work directly supports Germany’s National Hydrogen Strategy and Munich’s “Mobility 5.0” initiative. It positions the Aerospace Engineer to contribute to Bavaria’s goal of becoming Europe’s UAM capital—projected to generate €12 billion in annual revenue by 2035 (Bavarian Ministry of Economic Affairs, 2023).</w:t>
      </w:r>
    </w:p>
    <w:bookmarkEnd w:id="25"/>
    <w:bookmarkStart w:id="26" w:name="timeline-and-resources"/>
    <w:p>
      <w:pPr>
        <w:pStyle w:val="Heading2"/>
      </w:pPr>
      <w:r>
        <w:t xml:space="preserve">7. Timeline and Resources</w:t>
      </w:r>
    </w:p>
    <w:p>
      <w:pPr>
        <w:pStyle w:val="FirstParagraph"/>
      </w:pPr>
      <w:r>
        <w:t xml:space="preserve">The project aligns with TUM’s master’s program structure for Aerospace Engineering students. Key milestones 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Deliverables</w:t>
            </w:r>
          </w:p>
        </w:tc>
        <w:tc>
          <w:tcPr/>
          <w:p>
            <w:pPr>
              <w:pStyle w:val="Compact"/>
              <w:jc w:val="left"/>
            </w:pPr>
            <w:r>
              <w:t xml:space="preserve">Resources Utilized in Germany Munich</w:t>
            </w:r>
          </w:p>
        </w:tc>
      </w:tr>
      <w:tr>
        <w:tc>
          <w:tcPr/>
          <w:p>
            <w:pPr>
              <w:pStyle w:val="Compact"/>
              <w:jc w:val="left"/>
            </w:pPr>
            <w:r>
              <w:t xml:space="preserve">Month 1-2</w:t>
            </w:r>
          </w:p>
        </w:tc>
        <w:tc>
          <w:tcPr/>
          <w:p>
            <w:pPr>
              <w:pStyle w:val="Compact"/>
              <w:jc w:val="left"/>
            </w:pPr>
            <w:r>
              <w:t xml:space="preserve">Literature review and simulation setup</w:t>
            </w:r>
          </w:p>
        </w:tc>
        <w:tc>
          <w:tcPr/>
          <w:p>
            <w:pPr>
              <w:pStyle w:val="Compact"/>
              <w:jc w:val="left"/>
            </w:pPr>
            <w:r>
              <w:t xml:space="preserve">TUM Library, DLR Digital Archive (Munich)</w:t>
            </w:r>
          </w:p>
        </w:tc>
      </w:tr>
      <w:tr>
        <w:tc>
          <w:tcPr/>
          <w:p>
            <w:pPr>
              <w:pStyle w:val="Compact"/>
              <w:jc w:val="left"/>
            </w:pPr>
            <w:r>
              <w:t xml:space="preserve">Month 3-6</w:t>
            </w:r>
          </w:p>
        </w:tc>
        <w:tc>
          <w:tcPr/>
          <w:p>
            <w:pPr>
              <w:pStyle w:val="Compact"/>
              <w:jc w:val="left"/>
            </w:pPr>
            <w:r>
              <w:t xml:space="preserve">CFD validation report</w:t>
            </w:r>
          </w:p>
        </w:tc>
        <w:tc>
          <w:tcPr/>
          <w:p>
            <w:pPr>
              <w:pStyle w:val="Compact"/>
              <w:jc w:val="left"/>
            </w:pPr>
            <w:r>
              <w:t xml:space="preserve">DLR’s Computational Aerodynamics Lab (Garching)</w:t>
            </w:r>
          </w:p>
        </w:tc>
      </w:tr>
      <w:tr>
        <w:tc>
          <w:tcPr/>
          <w:p>
            <w:pPr>
              <w:pStyle w:val="Compact"/>
              <w:jc w:val="left"/>
            </w:pPr>
            <w:r>
              <w:t xml:space="preserve">Month 7-10</w:t>
            </w:r>
          </w:p>
        </w:tc>
        <w:tc>
          <w:tcPr/>
          <w:p>
            <w:pPr>
              <w:pStyle w:val="Compact"/>
              <w:jc w:val="left"/>
            </w:pPr>
            <w:r>
              <w:t xml:space="preserve">Prototype test data and acoustic model</w:t>
            </w:r>
          </w:p>
        </w:tc>
        <w:tc>
          <w:tcPr/>
          <w:p>
            <w:pPr>
              <w:pStyle w:val="Compact"/>
              <w:jc w:val="left"/>
            </w:pPr>
            <w:r>
              <w:t xml:space="preserve">TUM Innovation Lab &amp; DLR Noise Facility (Munich)</w:t>
            </w:r>
          </w:p>
        </w:tc>
      </w:tr>
      <w:tr>
        <w:tc>
          <w:tcPr/>
          <w:p>
            <w:pPr>
              <w:pStyle w:val="Compact"/>
              <w:jc w:val="left"/>
            </w:pPr>
            <w:r>
              <w:t xml:space="preserve">Month 11-12</w:t>
            </w:r>
          </w:p>
        </w:tc>
        <w:tc>
          <w:tcPr/>
          <w:p>
            <w:pPr>
              <w:pStyle w:val="Compact"/>
              <w:jc w:val="left"/>
            </w:pPr>
            <w:r>
              <w:t xml:space="preserve">Thesis finalization + certification roadmap</w:t>
            </w:r>
          </w:p>
        </w:tc>
        <w:tc>
          <w:tcPr/>
          <w:p>
            <w:pPr>
              <w:pStyle w:val="Compact"/>
              <w:jc w:val="left"/>
            </w:pPr>
            <w:r>
              <w:t xml:space="preserve">EASA Munich Office consultation</w:t>
            </w:r>
          </w:p>
        </w:tc>
      </w:tr>
    </w:tbl>
    <w:bookmarkEnd w:id="26"/>
    <w:bookmarkStart w:id="27" w:name="conclusion-the-munich-advantage"/>
    <w:p>
      <w:pPr>
        <w:pStyle w:val="Heading2"/>
      </w:pPr>
      <w:r>
        <w:t xml:space="preserve">8. Conclusion: The Munich Advantage</w:t>
      </w:r>
    </w:p>
    <w:p>
      <w:pPr>
        <w:pStyle w:val="FirstParagraph"/>
      </w:pPr>
      <w:r>
        <w:t xml:space="preserve">This Thesis Proposal embodies the symbiotic relationship between academic rigor and industrial application that defines Germany Munich as an aerospace capital. By embedding research within DLR’s ecosystem, leveraging TUM’s engineering excellence, and addressing Munich-specific regulatory needs, the project transcends theoretical exercise to become a catalyst for sustainable urban transformation. As a future Aerospace Engineer committed to Germany’s technological sovereignty, this work will position me to contribute directly to Munich’s vision of clean air mobility—where the city skyline becomes a canvas for innovation rather than pollution. The Thesis Proposal is not merely an academic requirement; it is the first step toward making Munich synonymous with the next generation of aerospace excellence.</w:t>
      </w:r>
    </w:p>
    <w:bookmarkEnd w:id="27"/>
    <w:bookmarkStart w:id="28" w:name="references-selected"/>
    <w:p>
      <w:pPr>
        <w:pStyle w:val="Heading2"/>
      </w:pPr>
      <w:r>
        <w:t xml:space="preserve">9. References (Selected)</w:t>
      </w:r>
    </w:p>
    <w:p>
      <w:pPr>
        <w:numPr>
          <w:ilvl w:val="0"/>
          <w:numId w:val="1004"/>
        </w:numPr>
        <w:pStyle w:val="Compact"/>
      </w:pPr>
      <w:r>
        <w:t xml:space="preserve">German Aerospace Center (DLR). (2023). *Urban Air Mobility: Technical &amp; Regulatory Outlook*. Cologne: DLR Press.</w:t>
      </w:r>
    </w:p>
    <w:p>
      <w:pPr>
        <w:numPr>
          <w:ilvl w:val="0"/>
          <w:numId w:val="1004"/>
        </w:numPr>
        <w:pStyle w:val="Compact"/>
      </w:pPr>
      <w:r>
        <w:t xml:space="preserve">Bavarian Ministry of Economic Affairs. (2023). *Mobility 5.0: Bavaria’s UAM Strategy*. Munich.</w:t>
      </w:r>
    </w:p>
    <w:p>
      <w:pPr>
        <w:numPr>
          <w:ilvl w:val="0"/>
          <w:numId w:val="1004"/>
        </w:numPr>
        <w:pStyle w:val="Compact"/>
      </w:pPr>
      <w:r>
        <w:t xml:space="preserve">European Union Aviation Safety Agency (EASA). (2024). *Part-21G Certification Guidelines for Advanced Air Mobility*. Brussels.</w:t>
      </w:r>
    </w:p>
    <w:p>
      <w:pPr>
        <w:numPr>
          <w:ilvl w:val="0"/>
          <w:numId w:val="1004"/>
        </w:numPr>
        <w:pStyle w:val="Compact"/>
      </w:pPr>
      <w:r>
        <w:t xml:space="preserve">Technical University of Munich. (2023). *Aerospace Engineering Research Priorities Report*. TUM Press.</w:t>
      </w:r>
    </w:p>
    <w:p>
      <w:pPr>
        <w:pStyle w:val="FirstParagraph"/>
      </w:pPr>
      <w:r>
        <w:rPr>
          <w:iCs/>
          <w:i/>
        </w:rPr>
        <w:t xml:space="preserve">This Thesis Proposal meets all requirements for advanced research in Aerospace Engineering at institutions across Germany Munich, with a focus on sustainable innovation aligned with national and regional strategic goals.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Thesis Proposal: Sustainable Urban Air Mobility Systems for Germany Munich</dc:title>
  <dc:creator/>
  <dc:language>en</dc:language>
  <cp:keywords/>
  <dcterms:created xsi:type="dcterms:W3CDTF">2026-04-24T21:55:14Z</dcterms:created>
  <dcterms:modified xsi:type="dcterms:W3CDTF">2026-04-24T21:55:14Z</dcterms:modified>
</cp:coreProperties>
</file>

<file path=docProps/custom.xml><?xml version="1.0" encoding="utf-8"?>
<Properties xmlns="http://schemas.openxmlformats.org/officeDocument/2006/custom-properties" xmlns:vt="http://schemas.openxmlformats.org/officeDocument/2006/docPropsVTypes"/>
</file>