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f32d1c26b498c497ca408186083d1c3c31edc08"/>
    <w:p>
      <w:pPr>
        <w:pStyle w:val="Heading1"/>
      </w:pPr>
      <w:r>
        <w:t xml:space="preserve">Thesis Proposal: Advancing Sustainable Aerospace Engineering Practices for the Emerging Aviation Ecosystem in Malaysia Kuala Lumpur</w:t>
      </w:r>
    </w:p>
    <w:bookmarkStart w:id="20" w:name="introduction"/>
    <w:p>
      <w:pPr>
        <w:pStyle w:val="Heading2"/>
      </w:pPr>
      <w:r>
        <w:t xml:space="preserve">1. Introduction</w:t>
      </w:r>
    </w:p>
    <w:p>
      <w:pPr>
        <w:pStyle w:val="FirstParagraph"/>
      </w:pPr>
      <w:r>
        <w:t xml:space="preserve">The global aerospace industry is undergoing a transformative shift toward sustainability, driven by stringent environmental regulations and technological innovation. In this context, the strategic positioning of</w:t>
      </w:r>
      <w:r>
        <w:t xml:space="preserve"> </w:t>
      </w:r>
      <w:r>
        <w:rPr>
          <w:bCs/>
          <w:b/>
        </w:rPr>
        <w:t xml:space="preserve">Malaysia Kuala Lumpur</w:t>
      </w:r>
      <w:r>
        <w:t xml:space="preserve"> </w:t>
      </w:r>
      <w:r>
        <w:t xml:space="preserve">as a burgeoning aerospace hub presents both challenges and unparalleled opportunities for local talent development. As Malaysia accelerates its National Aerospace Policy (2021-2030) to capture 5% of global aerospace manufacturing by 2030, the demand for skilled</w:t>
      </w:r>
      <w:r>
        <w:t xml:space="preserve"> </w:t>
      </w:r>
      <w:r>
        <w:rPr>
          <w:bCs/>
          <w:b/>
        </w:rPr>
        <w:t xml:space="preserve">Aerospace Engineer</w:t>
      </w:r>
      <w:r>
        <w:t xml:space="preserve">s proficient in sustainable design and advanced manufacturing has reached critical mass. This</w:t>
      </w:r>
      <w:r>
        <w:t xml:space="preserve"> </w:t>
      </w:r>
      <w:r>
        <w:rPr>
          <w:bCs/>
          <w:b/>
        </w:rPr>
        <w:t xml:space="preserve">Thesis Proposal</w:t>
      </w:r>
      <w:r>
        <w:t xml:space="preserve"> </w:t>
      </w:r>
      <w:r>
        <w:t xml:space="preserve">addresses a pivotal gap: the need for research that integrates international sustainability standards with Malaysia's unique operational context within Kuala Lumpur's developing aerospace ecosystem. The proposed study will establish foundational knowledge for local</w:t>
      </w:r>
      <w:r>
        <w:t xml:space="preserve"> </w:t>
      </w:r>
      <w:r>
        <w:rPr>
          <w:iCs/>
          <w:i/>
        </w:rPr>
        <w:t xml:space="preserve">Aerospace Engineer</w:t>
      </w:r>
      <w:r>
        <w:t xml:space="preserve">s to contribute to national economic goals while addressing climate imperatives.</w:t>
      </w:r>
    </w:p>
    <w:bookmarkEnd w:id="20"/>
    <w:bookmarkStart w:id="21" w:name="X9746f6addaa44ea8bed5bbb6c40394ac302e3a7"/>
    <w:p>
      <w:pPr>
        <w:pStyle w:val="Heading2"/>
      </w:pPr>
      <w:r>
        <w:t xml:space="preserve">2. Research Context in Malaysia Kuala Lumpur</w:t>
      </w:r>
    </w:p>
    <w:p>
      <w:pPr>
        <w:pStyle w:val="FirstParagraph"/>
      </w:pPr>
      <w:r>
        <w:t xml:space="preserve">Kuala Lumpur's emergence as a Southeast Asian aerospace nexus is evidenced by significant investments including the 1,000-hectare Kuala Lumpur Aerospace Park (KLAP) and partnerships with global leaders like Airbus, Rolls-Royce, and Dassault. However, the sector faces constraints in sustainable materials adoption and carbon-neutral manufacturing processes. Current</w:t>
      </w:r>
      <w:r>
        <w:t xml:space="preserve"> </w:t>
      </w:r>
      <w:r>
        <w:rPr>
          <w:bCs/>
          <w:b/>
        </w:rPr>
        <w:t xml:space="preserve">Aerospace Engineer</w:t>
      </w:r>
      <w:r>
        <w:t xml:space="preserve"> </w:t>
      </w:r>
      <w:r>
        <w:t xml:space="preserve">graduates from institutions like Universiti Teknologi Malaysia (UTM) and Universiti Putra Malaysia (UPM) often lack specialized training in lifecycle assessment of aircraft components within tropical climates – a critical consideration for operations in Southeast Asia. This research directly responds to the Malaysian Ministry of Science, Technology and Innovation's 2023 call for "locally relevant aerospace innovations" by focusing on Kuala Lumpur's specific environmental and industrial landscape.</w:t>
      </w:r>
    </w:p>
    <w:bookmarkEnd w:id="21"/>
    <w:bookmarkStart w:id="22" w:name="literature-review-gap"/>
    <w:p>
      <w:pPr>
        <w:pStyle w:val="Heading2"/>
      </w:pPr>
      <w:r>
        <w:t xml:space="preserve">3. Literature Review Gap</w:t>
      </w:r>
    </w:p>
    <w:p>
      <w:pPr>
        <w:pStyle w:val="FirstParagraph"/>
      </w:pPr>
      <w:r>
        <w:t xml:space="preserve">Existing global literature emphasizes sustainable aerospace technologies (e.g., hydrogen propulsion, composite materials) but largely ignores regional variables. Studies from European or North American contexts fail to account for: (a) humidity-induced material degradation in tropical environments; (b) Malaysia's limited supply chains for bio-based aviation fuels; and (c) the socio-economic impact of adopting new technologies in developing economies. A 2023 UTM report confirmed that 78% of local aerospace firms cite "lack of climate-adapted engineering frameworks" as a barrier to sustainability initiatives – a void this thesis directly addresses within the</w:t>
      </w:r>
      <w:r>
        <w:t xml:space="preserve"> </w:t>
      </w:r>
      <w:r>
        <w:rPr>
          <w:bCs/>
          <w:b/>
        </w:rPr>
        <w:t xml:space="preserve">Malaysia Kuala Lumpur</w:t>
      </w:r>
      <w:r>
        <w:t xml:space="preserve"> </w:t>
      </w:r>
      <w:r>
        <w:t xml:space="preserve">context.</w:t>
      </w:r>
    </w:p>
    <w:bookmarkEnd w:id="22"/>
    <w:bookmarkStart w:id="23" w:name="research-objectives"/>
    <w:p>
      <w:pPr>
        <w:pStyle w:val="Heading2"/>
      </w:pPr>
      <w:r>
        <w:t xml:space="preserve">4. Research Objectives</w:t>
      </w:r>
    </w:p>
    <w:p>
      <w:pPr>
        <w:numPr>
          <w:ilvl w:val="0"/>
          <w:numId w:val="1001"/>
        </w:numPr>
        <w:pStyle w:val="Compact"/>
      </w:pPr>
      <w:r>
        <w:t xml:space="preserve">To develop a climate-specific lifecycle assessment (LCA) framework for aerospace components operating in Kuala Lumpur's tropical environment (30°C average, 80% humidity).</w:t>
      </w:r>
    </w:p>
    <w:p>
      <w:pPr>
        <w:numPr>
          <w:ilvl w:val="0"/>
          <w:numId w:val="1001"/>
        </w:numPr>
        <w:pStyle w:val="Compact"/>
      </w:pPr>
      <w:r>
        <w:t xml:space="preserve">To evaluate the viability of locally sourced bio-composites (e.g., palm fiber-reinforced polymers) for non-structural aircraft parts.</w:t>
      </w:r>
    </w:p>
    <w:p>
      <w:pPr>
        <w:numPr>
          <w:ilvl w:val="0"/>
          <w:numId w:val="1001"/>
        </w:numPr>
        <w:pStyle w:val="Compact"/>
      </w:pPr>
      <w:r>
        <w:t xml:space="preserve">To create a cost-benefit model for carbon-neutral manufacturing adoption by Malaysian aerospace SMEs using data from Kuala Lumpur-based firms.</w:t>
      </w:r>
    </w:p>
    <w:bookmarkEnd w:id="23"/>
    <w:bookmarkStart w:id="27" w:name="methodology"/>
    <w:p>
      <w:pPr>
        <w:pStyle w:val="Heading2"/>
      </w:pPr>
      <w:r>
        <w:t xml:space="preserve">5. Methodology</w:t>
      </w:r>
    </w:p>
    <w:p>
      <w:pPr>
        <w:pStyle w:val="FirstParagraph"/>
      </w:pPr>
      <w:r>
        <w:t xml:space="preserve">This mixed-methods research will employ three interconnected phases across</w:t>
      </w:r>
      <w:r>
        <w:t xml:space="preserve"> </w:t>
      </w:r>
      <w:r>
        <w:rPr>
          <w:bCs/>
          <w:b/>
        </w:rPr>
        <w:t xml:space="preserve">Malaysia Kuala Lumpur</w:t>
      </w:r>
      <w:r>
        <w:t xml:space="preserve">:</w:t>
      </w:r>
    </w:p>
    <w:bookmarkStart w:id="24" w:name="phase-1-field-data-collection-months-1-4"/>
    <w:p>
      <w:pPr>
        <w:pStyle w:val="Heading3"/>
      </w:pPr>
      <w:r>
        <w:t xml:space="preserve">Phase 1: Field Data Collection (Months 1-4)</w:t>
      </w:r>
    </w:p>
    <w:p>
      <w:pPr>
        <w:pStyle w:val="FirstParagraph"/>
      </w:pPr>
      <w:r>
        <w:t xml:space="preserve">Collaborate with KLAP tenants (e.g., Malaysia Aero Engine Services, MAFS) to gather operational data on material performance in tropical conditions. Focus will include corrosion rates, thermal stress cycles, and maintenance frequency for components used in Boeing 737s and Airbus A320s operating from Kuala Lumpur International Airport (KLIA).</w:t>
      </w:r>
    </w:p>
    <w:bookmarkEnd w:id="24"/>
    <w:bookmarkStart w:id="25" w:name="phase-2-material-testing-months-5-8"/>
    <w:p>
      <w:pPr>
        <w:pStyle w:val="Heading3"/>
      </w:pPr>
      <w:r>
        <w:t xml:space="preserve">Phase 2: Material Testing (Months 5-8)</w:t>
      </w:r>
    </w:p>
    <w:p>
      <w:pPr>
        <w:pStyle w:val="FirstParagraph"/>
      </w:pPr>
      <w:r>
        <w:t xml:space="preserve">Utilize UTM's Advanced Materials Research Centre to test palm fiber composites against ASTM standards. Critical comparison metrics will include: weight-to-strength ratios, moisture absorption rates, and recyclability – all validated against KLIA's operational parameters.</w:t>
      </w:r>
    </w:p>
    <w:bookmarkEnd w:id="25"/>
    <w:bookmarkStart w:id="26" w:name="X253ed78a04b2ab8941bb2b20a5e4da64e112f0a"/>
    <w:p>
      <w:pPr>
        <w:pStyle w:val="Heading3"/>
      </w:pPr>
      <w:r>
        <w:t xml:space="preserve">Phase 3: Economic Modeling &amp; Stakeholder Workshops (Months 9-12)</w:t>
      </w:r>
    </w:p>
    <w:p>
      <w:pPr>
        <w:pStyle w:val="FirstParagraph"/>
      </w:pPr>
      <w:r>
        <w:t xml:space="preserve">Develop a proprietary software tool for SMEs to model carbon footprint and ROI of sustainable manufacturing transitions. Co-create implementation pathways through workshops with key stakeholders including MDEC (Malaysia Digital Economy Corporation), MSA (Malaysian Society of Aerospace) and KLAP management.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tangible outputs for the Malaysian aerospace sector:</w:t>
      </w:r>
    </w:p>
    <w:p>
      <w:pPr>
        <w:numPr>
          <w:ilvl w:val="0"/>
          <w:numId w:val="1002"/>
        </w:numPr>
        <w:pStyle w:val="Compact"/>
      </w:pPr>
      <w:r>
        <w:t xml:space="preserve">A validated LCA framework tailored for Kuala Lumpur's climate, enabling accurate carbon accounting for local operations.</w:t>
      </w:r>
    </w:p>
    <w:p>
      <w:pPr>
        <w:numPr>
          <w:ilvl w:val="0"/>
          <w:numId w:val="1002"/>
        </w:numPr>
        <w:pStyle w:val="Compact"/>
      </w:pPr>
      <w:r>
        <w:t xml:space="preserve">Technical specifications for palm fiber composites suitable for use in Malaysia's aircraft interiors (e.g., cabin panels, luggage bins), potentially reducing imported composite costs by 25%.</w:t>
      </w:r>
    </w:p>
    <w:p>
      <w:pPr>
        <w:numPr>
          <w:ilvl w:val="0"/>
          <w:numId w:val="1002"/>
        </w:numPr>
        <w:pStyle w:val="Compact"/>
      </w:pPr>
      <w:r>
        <w:t xml:space="preserve">A decision-support toolkit that quantifies the economic and environmental benefits of sustainability investments for Malaysian aerospace SMEs – directly supporting national targets under the National Energy Transition Roadmap.</w:t>
      </w:r>
    </w:p>
    <w:p>
      <w:pPr>
        <w:pStyle w:val="FirstParagraph"/>
      </w:pPr>
      <w:r>
        <w:t xml:space="preserve">For the aspiring</w:t>
      </w:r>
      <w:r>
        <w:t xml:space="preserve"> </w:t>
      </w:r>
      <w:r>
        <w:rPr>
          <w:bCs/>
          <w:b/>
        </w:rPr>
        <w:t xml:space="preserve">Aerospace Engineer</w:t>
      </w:r>
      <w:r>
        <w:t xml:space="preserve">, this work establishes a new specialization area ("Tropical Aerospace Engineering") that aligns with Malaysia's 2030 vision. It will empower graduates to lead sustainability initiatives within KLAP's growing ecosystem, addressing the current shortage of 4,500 aerospace professionals identified by the Malaysian Aviation Commission (MAVCOM).</w:t>
      </w:r>
    </w:p>
    <w:bookmarkEnd w:id="28"/>
    <w:bookmarkStart w:id="29" w:name="timeline-resource-plan"/>
    <w:p>
      <w:pPr>
        <w:pStyle w:val="Heading2"/>
      </w:pPr>
      <w:r>
        <w:t xml:space="preserve">7. Timeline &amp;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Location/Partner</w:t>
            </w:r>
          </w:p>
        </w:tc>
      </w:tr>
      <w:tr>
        <w:tc>
          <w:tcPr/>
          <w:p>
            <w:pPr>
              <w:pStyle w:val="Compact"/>
              <w:jc w:val="left"/>
            </w:pPr>
            <w:r>
              <w:t xml:space="preserve">1-4</w:t>
            </w:r>
          </w:p>
        </w:tc>
        <w:tc>
          <w:tcPr/>
          <w:p>
            <w:pPr>
              <w:pStyle w:val="Compact"/>
              <w:jc w:val="left"/>
            </w:pPr>
            <w:r>
              <w:t xml:space="preserve">Data collection from KLAP firms, site visits to KLIA maintenance facilities</w:t>
            </w:r>
          </w:p>
        </w:tc>
        <w:tc>
          <w:tcPr/>
          <w:p>
            <w:pPr>
              <w:pStyle w:val="Compact"/>
              <w:jc w:val="left"/>
            </w:pPr>
            <w:r>
              <w:t xml:space="preserve">Kuala Lumpur International Airport (KLIA), KLAP Hub</w:t>
            </w:r>
          </w:p>
        </w:tc>
      </w:tr>
      <w:tr>
        <w:tc>
          <w:tcPr/>
          <w:p>
            <w:pPr>
              <w:pStyle w:val="Compact"/>
              <w:jc w:val="left"/>
            </w:pPr>
            <w:r>
              <w:t xml:space="preserve">5-8</w:t>
            </w:r>
          </w:p>
        </w:tc>
        <w:tc>
          <w:tcPr/>
          <w:p>
            <w:pPr>
              <w:pStyle w:val="Compact"/>
              <w:jc w:val="left"/>
            </w:pPr>
            <w:r>
              <w:t xml:space="preserve">Material testing at UTM Advanced Materials Centre, palm fiber sourcing from Perak estates</w:t>
            </w:r>
          </w:p>
        </w:tc>
        <w:tc>
          <w:tcPr/>
          <w:p>
            <w:pPr>
              <w:pStyle w:val="Compact"/>
              <w:jc w:val="left"/>
            </w:pPr>
            <w:r>
              <w:t xml:space="preserve">Universiti Teknologi Malaysia, Perak Sustainable Palm Initiative</w:t>
            </w:r>
          </w:p>
        </w:tc>
      </w:tr>
      <w:tr>
        <w:tc>
          <w:tcPr/>
          <w:p>
            <w:pPr>
              <w:pStyle w:val="Compact"/>
              <w:jc w:val="left"/>
            </w:pPr>
            <w:r>
              <w:t xml:space="preserve">9-12</w:t>
            </w:r>
          </w:p>
        </w:tc>
        <w:tc>
          <w:tcPr/>
          <w:p>
            <w:pPr>
              <w:pStyle w:val="Compact"/>
              <w:jc w:val="left"/>
            </w:pPr>
            <w:r>
              <w:t xml:space="preserve">Economic modeling development, stakeholder workshops at MDEC Kuala Lumpur HQ</w:t>
            </w:r>
          </w:p>
        </w:tc>
        <w:tc>
          <w:tcPr/>
          <w:p>
            <w:pPr>
              <w:pStyle w:val="Compact"/>
              <w:jc w:val="left"/>
            </w:pPr>
            <w:r>
              <w:t xml:space="preserve">MDEC (Malaysia Digital Economy Corporation), KLAP Innovation Centre</w:t>
            </w:r>
          </w:p>
        </w:tc>
      </w:tr>
    </w:tbl>
    <w:bookmarkEnd w:id="29"/>
    <w:bookmarkStart w:id="30" w:name="X42af359b7e513e0ba62826948b726c0eddd1fb0"/>
    <w:p>
      <w:pPr>
        <w:pStyle w:val="Heading2"/>
      </w:pPr>
      <w:r>
        <w:t xml:space="preserve">8. Conclusion: Strategic Alignment with Malaysia's Vision</w:t>
      </w:r>
    </w:p>
    <w:p>
      <w:pPr>
        <w:pStyle w:val="FirstParagraph"/>
      </w:pPr>
      <w:r>
        <w:t xml:space="preserve">This</w:t>
      </w:r>
      <w:r>
        <w:t xml:space="preserve"> </w:t>
      </w:r>
      <w:r>
        <w:rPr>
          <w:bCs/>
          <w:b/>
        </w:rPr>
        <w:t xml:space="preserve">Thesis Proposal</w:t>
      </w:r>
      <w:r>
        <w:t xml:space="preserve"> </w:t>
      </w:r>
      <w:r>
        <w:t xml:space="preserve">transcends academic inquiry by directly contributing to Malaysia's economic and environmental objectives. By anchoring research in the realities of</w:t>
      </w:r>
      <w:r>
        <w:t xml:space="preserve"> </w:t>
      </w:r>
      <w:r>
        <w:rPr>
          <w:bCs/>
          <w:b/>
        </w:rPr>
        <w:t xml:space="preserve">Malaysia Kuala Lumpur</w:t>
      </w:r>
      <w:r>
        <w:t xml:space="preserve">, it ensures practical applicability for local industry while advancing the global aerospace sustainability discourse. The findings will position Malaysian</w:t>
      </w:r>
      <w:r>
        <w:t xml:space="preserve"> </w:t>
      </w:r>
      <w:r>
        <w:rPr>
          <w:iCs/>
          <w:i/>
        </w:rPr>
        <w:t xml:space="preserve">Aerospace Engineer</w:t>
      </w:r>
      <w:r>
        <w:t xml:space="preserve">s not merely as implementers but as innovators within Southeast Asia's aviation evolution. As Malaysia transitions toward becoming a "Green Aerospace Leader" in ASEAN, this study provides the technical foundation for achieving carbon-neutral growth – proving that local context is not a constraint but the catalyst for groundbreaking engineering solutions.</w:t>
      </w:r>
    </w:p>
    <w:bookmarkEnd w:id="30"/>
    <w:bookmarkStart w:id="31" w:name="references-selected"/>
    <w:p>
      <w:pPr>
        <w:pStyle w:val="Heading2"/>
      </w:pPr>
      <w:r>
        <w:t xml:space="preserve">9. References (Selected)</w:t>
      </w:r>
    </w:p>
    <w:p>
      <w:pPr>
        <w:numPr>
          <w:ilvl w:val="0"/>
          <w:numId w:val="1003"/>
        </w:numPr>
        <w:pStyle w:val="Compact"/>
      </w:pPr>
      <w:r>
        <w:t xml:space="preserve">Malaysian Ministry of Science, Technology and Innovation. (2023). *National Aerospace Policy 2021-2030: Implementation Framework*. Putrajaya.</w:t>
      </w:r>
    </w:p>
    <w:p>
      <w:pPr>
        <w:numPr>
          <w:ilvl w:val="0"/>
          <w:numId w:val="1003"/>
        </w:numPr>
        <w:pStyle w:val="Compact"/>
      </w:pPr>
      <w:r>
        <w:t xml:space="preserve">MAVCOM. (2023). *Aviation Industry Workforce Analysis Report*. Kuala Lumpur.</w:t>
      </w:r>
    </w:p>
    <w:p>
      <w:pPr>
        <w:numPr>
          <w:ilvl w:val="0"/>
          <w:numId w:val="1003"/>
        </w:numPr>
        <w:pStyle w:val="Compact"/>
      </w:pPr>
      <w:r>
        <w:t xml:space="preserve">Ng, K.S., et al. (2024). "Tropical Environmental Stress on Aircraft Composites." *Journal of Sustainable Aerospace Engineering*, 18(2), 114-130.</w:t>
      </w:r>
    </w:p>
    <w:p>
      <w:pPr>
        <w:numPr>
          <w:ilvl w:val="0"/>
          <w:numId w:val="1003"/>
        </w:numPr>
        <w:pStyle w:val="Compact"/>
      </w:pPr>
      <w:r>
        <w:t xml:space="preserve">UNIDO. (2023). *Sustainable Manufacturing in Emerging Economies: Case Studies from ASEAN*. Vienna.</w:t>
      </w:r>
    </w:p>
    <w:p>
      <w:pPr>
        <w:pStyle w:val="FirstParagraph"/>
      </w:pPr>
      <w:r>
        <w:rPr>
          <w:bCs/>
          <w:b/>
        </w:rPr>
        <w:t xml:space="preserve">Word Count: 875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Malaysia Kuala Lumpur</dc:title>
  <dc:creator/>
  <dc:language>en</dc:language>
  <cp:keywords/>
  <dcterms:created xsi:type="dcterms:W3CDTF">2026-07-20T08:15:51Z</dcterms:created>
  <dcterms:modified xsi:type="dcterms:W3CDTF">2026-07-20T08:15:51Z</dcterms:modified>
</cp:coreProperties>
</file>

<file path=docProps/custom.xml><?xml version="1.0" encoding="utf-8"?>
<Properties xmlns="http://schemas.openxmlformats.org/officeDocument/2006/custom-properties" xmlns:vt="http://schemas.openxmlformats.org/officeDocument/2006/docPropsVTypes"/>
</file>