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Uzbekistan</w:t>
      </w:r>
      <w:r>
        <w:t xml:space="preserve"> </w:t>
      </w:r>
      <w:r>
        <w:t xml:space="preserve">Tashkent</w:t>
      </w:r>
    </w:p>
    <w:bookmarkStart w:id="28" w:name="X961e26c28360c3c841a8b6afbfd7129346fd328"/>
    <w:p>
      <w:pPr>
        <w:pStyle w:val="Heading1"/>
      </w:pPr>
      <w:r>
        <w:t xml:space="preserve">Thesis Proposal: Strategic Development of Aerospace Engineering Education and Research Infrastructure at the National University of Uzbekistan, Tashkent</w:t>
      </w:r>
    </w:p>
    <w:bookmarkStart w:id="20" w:name="introduction"/>
    <w:p>
      <w:pPr>
        <w:pStyle w:val="Heading2"/>
      </w:pPr>
      <w:r>
        <w:t xml:space="preserve">1. Introduction</w:t>
      </w:r>
    </w:p>
    <w:p>
      <w:pPr>
        <w:pStyle w:val="FirstParagraph"/>
      </w:pPr>
      <w:r>
        <w:t xml:space="preserve">The global aerospace sector represents a critical frontier for technological advancement, economic growth, and national security. For</w:t>
      </w:r>
      <w:r>
        <w:t xml:space="preserve"> </w:t>
      </w:r>
      <w:r>
        <w:rPr>
          <w:bCs/>
          <w:b/>
        </w:rPr>
        <w:t xml:space="preserve">Uzbekistan Tashkent</w:t>
      </w:r>
      <w:r>
        <w:t xml:space="preserve">, positioning itself as a regional hub for space technology and advanced engineering is no longer optional but a strategic imperative aligned with the nation's 2020-2030 National Space Programme. This</w:t>
      </w:r>
      <w:r>
        <w:t xml:space="preserve"> </w:t>
      </w:r>
      <w:r>
        <w:rPr>
          <w:bCs/>
          <w:b/>
        </w:rPr>
        <w:t xml:space="preserve">Thesis Proposal</w:t>
      </w:r>
      <w:r>
        <w:t xml:space="preserve"> </w:t>
      </w:r>
      <w:r>
        <w:t xml:space="preserve">addresses the urgent need to cultivate a new generation of highly skilled</w:t>
      </w:r>
      <w:r>
        <w:t xml:space="preserve"> </w:t>
      </w:r>
      <w:r>
        <w:rPr>
          <w:bCs/>
          <w:b/>
        </w:rPr>
        <w:t xml:space="preserve">Aerospace Engineer</w:t>
      </w:r>
      <w:r>
        <w:t xml:space="preserve">s capable of driving Uzbekistan's space ambitions, satellite development initiatives, and contributions to the global aerospace ecosystem. The focus is squarely on developing a sustainable, locally relevant academic framework within Tashkent's premier institutions.</w:t>
      </w:r>
    </w:p>
    <w:bookmarkEnd w:id="20"/>
    <w:bookmarkStart w:id="21" w:name="problem-statement"/>
    <w:p>
      <w:pPr>
        <w:pStyle w:val="Heading2"/>
      </w:pPr>
      <w:r>
        <w:t xml:space="preserve">2. Problem Statement</w:t>
      </w:r>
    </w:p>
    <w:p>
      <w:pPr>
        <w:pStyle w:val="FirstParagraph"/>
      </w:pPr>
      <w:r>
        <w:t xml:space="preserve">Despite Uzbekistan's significant strides in establishing its space sector—including the launch of its first satellite "UzTUG" (Uzbekistan Technology University Satellite) and the construction of the Tashkent Ground Station—the nation faces a critical shortage of specialized</w:t>
      </w:r>
      <w:r>
        <w:t xml:space="preserve"> </w:t>
      </w:r>
      <w:r>
        <w:rPr>
          <w:bCs/>
          <w:b/>
        </w:rPr>
        <w:t xml:space="preserve">Aerospace Engineer</w:t>
      </w:r>
      <w:r>
        <w:t xml:space="preserve">s. Current engineering curricula at leading universities in</w:t>
      </w:r>
      <w:r>
        <w:t xml:space="preserve"> </w:t>
      </w:r>
      <w:r>
        <w:rPr>
          <w:bCs/>
          <w:b/>
        </w:rPr>
        <w:t xml:space="preserve">Uzbekistan Tashkent</w:t>
      </w:r>
      <w:r>
        <w:t xml:space="preserve">, such as the National University of Uzbekistan (NUUz) and Tashkent Institute of Irrigation and Agricultural Mechanization Engineers (TIIAME), remain heavily oriented towards traditional mechanical or electrical disciplines, lacking integrated aerospace specialization. This skills gap hinders Uzbekistan's ability to fully utilize its satellite infrastructure, develop domestic launch capabilities, and participate meaningfully in international space collaborations. The existing infrastructure for advanced aerospace research—wind tunnels, composite materials labs, avionics simulators—is insufficient and often underutilized due to a lack of trained personnel.</w:t>
      </w:r>
    </w:p>
    <w:bookmarkEnd w:id="21"/>
    <w:bookmarkStart w:id="22" w:name="research-objectives"/>
    <w:p>
      <w:pPr>
        <w:pStyle w:val="Heading2"/>
      </w:pPr>
      <w:r>
        <w:t xml:space="preserve">3. Research Objectives</w:t>
      </w:r>
    </w:p>
    <w:p>
      <w:pPr>
        <w:pStyle w:val="FirstParagraph"/>
      </w:pPr>
      <w:r>
        <w:t xml:space="preserve">This research proposes a comprehensive blueprint for transforming aerospace engineering education and innovation within the academic ecosystem of</w:t>
      </w:r>
      <w:r>
        <w:t xml:space="preserve"> </w:t>
      </w:r>
      <w:r>
        <w:rPr>
          <w:bCs/>
          <w:b/>
        </w:rPr>
        <w:t xml:space="preserve">Uzbekistan Tashkent</w:t>
      </w:r>
      <w:r>
        <w:t xml:space="preserve">. The specific objectives are:</w:t>
      </w:r>
    </w:p>
    <w:p>
      <w:pPr>
        <w:numPr>
          <w:ilvl w:val="0"/>
          <w:numId w:val="1001"/>
        </w:numPr>
        <w:pStyle w:val="Compact"/>
      </w:pPr>
      <w:r>
        <w:t xml:space="preserve">To conduct a detailed audit of existing aerospace-related infrastructure, faculty expertise, and curriculum content at key universities in Tashkent.</w:t>
      </w:r>
    </w:p>
    <w:p>
      <w:pPr>
        <w:numPr>
          <w:ilvl w:val="0"/>
          <w:numId w:val="1001"/>
        </w:numPr>
        <w:pStyle w:val="Compact"/>
      </w:pPr>
      <w:r>
        <w:t xml:space="preserve">To develop a nationally aligned, industry-informed Aerospace Engineering curriculum framework tailored for Uzbekistan's strategic goals (e.g., satellite operations, remote sensing applications for agriculture/water management).</w:t>
      </w:r>
    </w:p>
    <w:p>
      <w:pPr>
        <w:numPr>
          <w:ilvl w:val="0"/>
          <w:numId w:val="1001"/>
        </w:numPr>
        <w:pStyle w:val="Compact"/>
      </w:pPr>
      <w:r>
        <w:t xml:space="preserve">To propose a phased model for establishing a dedicated Aerospace Research and Innovation Center (ARIC) at the National University of Uzbekistan in Tashkent, focusing on practical skills development.</w:t>
      </w:r>
    </w:p>
    <w:p>
      <w:pPr>
        <w:numPr>
          <w:ilvl w:val="0"/>
          <w:numId w:val="1001"/>
        </w:numPr>
        <w:pStyle w:val="Compact"/>
      </w:pPr>
      <w:r>
        <w:t xml:space="preserve">To identify pathways for international academic partnerships (e.g., with Turkish Space Agency, Indian ISRO, or European Space Agency institutions) to enhance knowledge transfer and joint research projects.</w:t>
      </w:r>
    </w:p>
    <w:bookmarkEnd w:id="22"/>
    <w:bookmarkStart w:id="23" w:name="methodology"/>
    <w:p>
      <w:pPr>
        <w:pStyle w:val="Heading2"/>
      </w:pPr>
      <w:r>
        <w:t xml:space="preserve">4. Methodology</w:t>
      </w:r>
    </w:p>
    <w:p>
      <w:pPr>
        <w:pStyle w:val="FirstParagraph"/>
      </w:pPr>
      <w:r>
        <w:t xml:space="preserve">The research will employ a mixed-methods approach:</w:t>
      </w:r>
    </w:p>
    <w:p>
      <w:pPr>
        <w:numPr>
          <w:ilvl w:val="0"/>
          <w:numId w:val="1002"/>
        </w:numPr>
        <w:pStyle w:val="Compact"/>
      </w:pPr>
      <w:r>
        <w:rPr>
          <w:bCs/>
          <w:b/>
        </w:rPr>
        <w:t xml:space="preserve">Qualitative Analysis:</w:t>
      </w:r>
      <w:r>
        <w:t xml:space="preserve"> </w:t>
      </w:r>
      <w:r>
        <w:t xml:space="preserve">In-depth interviews with 15+ key stakeholders in Uzbekistan's space sector (Uzbekspace, Ministry of Defense, NUUz Aerospace Department head) and academic leaders from Tashkent universities to map needs and capabilities.</w:t>
      </w:r>
    </w:p>
    <w:p>
      <w:pPr>
        <w:numPr>
          <w:ilvl w:val="0"/>
          <w:numId w:val="1002"/>
        </w:numPr>
        <w:pStyle w:val="Compact"/>
      </w:pPr>
      <w:r>
        <w:rPr>
          <w:bCs/>
          <w:b/>
        </w:rPr>
        <w:t xml:space="preserve">Comparative Curriculum Study:</w:t>
      </w:r>
      <w:r>
        <w:t xml:space="preserve"> </w:t>
      </w:r>
      <w:r>
        <w:t xml:space="preserve">Benchmarking against leading aerospace programs globally (e.g., MIT, TU Delft) and adapting best practices for the Uzbek context, emphasizing local applicability (e.g., drone technology for Central Asian terrain).</w:t>
      </w:r>
    </w:p>
    <w:p>
      <w:pPr>
        <w:numPr>
          <w:ilvl w:val="0"/>
          <w:numId w:val="1002"/>
        </w:numPr>
        <w:pStyle w:val="Compact"/>
      </w:pPr>
      <w:r>
        <w:rPr>
          <w:bCs/>
          <w:b/>
        </w:rPr>
        <w:t xml:space="preserve">Infrastructure Assessment:</w:t>
      </w:r>
      <w:r>
        <w:t xml:space="preserve"> </w:t>
      </w:r>
      <w:r>
        <w:t xml:space="preserve">Technical evaluation of existing facilities in Tashkent universities to identify gaps and cost-effective modernization strategies.</w:t>
      </w:r>
    </w:p>
    <w:p>
      <w:pPr>
        <w:numPr>
          <w:ilvl w:val="0"/>
          <w:numId w:val="1002"/>
        </w:numPr>
        <w:pStyle w:val="Compact"/>
      </w:pPr>
      <w:r>
        <w:rPr>
          <w:bCs/>
          <w:b/>
        </w:rPr>
        <w:t xml:space="preserve">Pilot Program Design:</w:t>
      </w:r>
      <w:r>
        <w:t xml:space="preserve"> </w:t>
      </w:r>
      <w:r>
        <w:t xml:space="preserve">Drafting a detailed, scalable pilot module for an advanced aerospace systems course, integrating virtual simulations and hands-on projects using low-cost hardware suitable for Tashkent labs.</w:t>
      </w:r>
    </w:p>
    <w:bookmarkEnd w:id="23"/>
    <w:bookmarkStart w:id="24" w:name="X7190364fbea6cbec8506f325692e215945e81df"/>
    <w:p>
      <w:pPr>
        <w:pStyle w:val="Heading2"/>
      </w:pPr>
      <w:r>
        <w:t xml:space="preserve">5. Expected Contributions to Uzbekistan Tashkent</w:t>
      </w:r>
    </w:p>
    <w:p>
      <w:pPr>
        <w:pStyle w:val="FirstParagraph"/>
      </w:pPr>
      <w:r>
        <w:t xml:space="preserve">This</w:t>
      </w:r>
      <w:r>
        <w:t xml:space="preserve"> </w:t>
      </w:r>
      <w:r>
        <w:rPr>
          <w:bCs/>
          <w:b/>
        </w:rPr>
        <w:t xml:space="preserve">Thesis Proposal</w:t>
      </w:r>
      <w:r>
        <w:t xml:space="preserve"> </w:t>
      </w:r>
      <w:r>
        <w:t xml:space="preserve">directly addresses Uzbekistan's national priorities as outlined in the "Digital Uzbekistan 2030" strategy and the National Space Programme:</w:t>
      </w:r>
    </w:p>
    <w:p>
      <w:pPr>
        <w:numPr>
          <w:ilvl w:val="0"/>
          <w:numId w:val="1003"/>
        </w:numPr>
        <w:pStyle w:val="Compact"/>
      </w:pPr>
      <w:r>
        <w:rPr>
          <w:bCs/>
          <w:b/>
        </w:rPr>
        <w:t xml:space="preserve">Skill Development:</w:t>
      </w:r>
      <w:r>
        <w:t xml:space="preserve"> </w:t>
      </w:r>
      <w:r>
        <w:t xml:space="preserve">Creates a clear, actionable roadmap to produce graduates equipped with industry-relevant skills in satellite systems engineering, propulsion fundamentals, and space operations—filling the critical gap identified by Uzbekspace.</w:t>
      </w:r>
    </w:p>
    <w:p>
      <w:pPr>
        <w:numPr>
          <w:ilvl w:val="0"/>
          <w:numId w:val="1003"/>
        </w:numPr>
        <w:pStyle w:val="Compact"/>
      </w:pPr>
      <w:r>
        <w:rPr>
          <w:bCs/>
          <w:b/>
        </w:rPr>
        <w:t xml:space="preserve">Innovation Catalyst:</w:t>
      </w:r>
      <w:r>
        <w:t xml:space="preserve"> </w:t>
      </w:r>
      <w:r>
        <w:t xml:space="preserve">The proposed ARIC model will serve as a hub for applied research on challenges specific to Central Asia (e.g., developing low-cost Earth observation platforms for desertification monitoring), attracting both local talent and international partnerships to Tashkent.</w:t>
      </w:r>
    </w:p>
    <w:p>
      <w:pPr>
        <w:numPr>
          <w:ilvl w:val="0"/>
          <w:numId w:val="1003"/>
        </w:numPr>
        <w:pStyle w:val="Compact"/>
      </w:pPr>
      <w:r>
        <w:rPr>
          <w:bCs/>
          <w:b/>
        </w:rPr>
        <w:t xml:space="preserve">Economic Impact:</w:t>
      </w:r>
      <w:r>
        <w:t xml:space="preserve"> </w:t>
      </w:r>
      <w:r>
        <w:t xml:space="preserve">By training homegrown</w:t>
      </w:r>
      <w:r>
        <w:t xml:space="preserve"> </w:t>
      </w:r>
      <w:r>
        <w:rPr>
          <w:bCs/>
          <w:b/>
        </w:rPr>
        <w:t xml:space="preserve">Aerospace Engineer</w:t>
      </w:r>
      <w:r>
        <w:t xml:space="preserve">s, Uzbekistan reduces reliance on expensive foreign expertise for its burgeoning space industry, fostering domestic tech entrepreneurship (e.g., startups in drone-based agriculture solutions).</w:t>
      </w:r>
    </w:p>
    <w:p>
      <w:pPr>
        <w:numPr>
          <w:ilvl w:val="0"/>
          <w:numId w:val="1003"/>
        </w:numPr>
        <w:pStyle w:val="Compact"/>
      </w:pPr>
      <w:r>
        <w:rPr>
          <w:bCs/>
          <w:b/>
        </w:rPr>
        <w:t xml:space="preserve">International Standing:</w:t>
      </w:r>
      <w:r>
        <w:t xml:space="preserve"> </w:t>
      </w:r>
      <w:r>
        <w:t xml:space="preserve">Positions Tashkent as a credible node within the global space community, enhancing Uzbekistan's reputation and opening doors for collaborative missions and technology sharing.</w:t>
      </w:r>
    </w:p>
    <w:bookmarkEnd w:id="24"/>
    <w:bookmarkStart w:id="25" w:name="significance-of-focus-on-tashkent"/>
    <w:p>
      <w:pPr>
        <w:pStyle w:val="Heading2"/>
      </w:pPr>
      <w:r>
        <w:t xml:space="preserve">6. Significance of Focus on Tashkent</w:t>
      </w:r>
    </w:p>
    <w:p>
      <w:pPr>
        <w:pStyle w:val="FirstParagraph"/>
      </w:pPr>
      <w:r>
        <w:t xml:space="preserve">Tashkent is the logical epicenter for this initiative. As the capital, political hub, and home to Uzbekistan's most prestigious universities (NUUz, TIIAME), it offers unparalleled access to policy makers, industry partners (like UzSat and local defense contractors), and a critical mass of academic talent. Establishing a world-class aerospace program *in* Tashkent ensures its integration with national strategy at the highest level and maximizes impact on the country's overall technological development trajectory. The success here will be a model for future expansion across Uzbekistan.</w:t>
      </w:r>
    </w:p>
    <w:bookmarkEnd w:id="25"/>
    <w:bookmarkStart w:id="26" w:name="conclusion"/>
    <w:p>
      <w:pPr>
        <w:pStyle w:val="Heading2"/>
      </w:pPr>
      <w:r>
        <w:t xml:space="preserve">7. Conclusion</w:t>
      </w:r>
    </w:p>
    <w:p>
      <w:pPr>
        <w:pStyle w:val="FirstParagraph"/>
      </w:pPr>
      <w:r>
        <w:t xml:space="preserve">The development of a robust aerospace engineering education and research ecosystem is foundational to Uzbekistan's ambition of becoming a recognized space-faring nation. This</w:t>
      </w:r>
      <w:r>
        <w:t xml:space="preserve"> </w:t>
      </w:r>
      <w:r>
        <w:rPr>
          <w:bCs/>
          <w:b/>
        </w:rPr>
        <w:t xml:space="preserve">Thesis Proposal</w:t>
      </w:r>
      <w:r>
        <w:t xml:space="preserve"> </w:t>
      </w:r>
      <w:r>
        <w:t xml:space="preserve">outlines a concrete, locally grounded strategy centered in **Uzbekistan Tashkent** to build the necessary academic capacity. It moves beyond theoretical study by providing an actionable framework for curriculum reform, infrastructure development, and strategic international engagement. The successful implementation of this proposal will directly empower Uzbekistan's future</w:t>
      </w:r>
      <w:r>
        <w:t xml:space="preserve"> </w:t>
      </w:r>
      <w:r>
        <w:rPr>
          <w:bCs/>
          <w:b/>
        </w:rPr>
        <w:t xml:space="preserve">Aerospace Engineer</w:t>
      </w:r>
      <w:r>
        <w:t xml:space="preserve">s to contribute meaningfully to national space projects—from satellite design and launch support to cutting-edge applications in environmental monitoring and communications—thereby accelerating the nation's technological sovereignty and economic diversification. Investing in aerospace education within Tashkent is an investment in Uzbekistan’s technological future on the global stage.</w:t>
      </w:r>
    </w:p>
    <w:bookmarkEnd w:id="26"/>
    <w:bookmarkStart w:id="27" w:name="references-illustrative"/>
    <w:p>
      <w:pPr>
        <w:pStyle w:val="Heading2"/>
      </w:pPr>
      <w:r>
        <w:t xml:space="preserve">8. References (Illustrative)</w:t>
      </w:r>
    </w:p>
    <w:p>
      <w:pPr>
        <w:numPr>
          <w:ilvl w:val="0"/>
          <w:numId w:val="1004"/>
        </w:numPr>
        <w:pStyle w:val="Compact"/>
      </w:pPr>
      <w:r>
        <w:t xml:space="preserve">National Space Programme of Uzbekistan (2020-2030). Ministry of Defense, Tashkent.</w:t>
      </w:r>
    </w:p>
    <w:p>
      <w:pPr>
        <w:numPr>
          <w:ilvl w:val="0"/>
          <w:numId w:val="1004"/>
        </w:numPr>
        <w:pStyle w:val="Compact"/>
      </w:pPr>
      <w:r>
        <w:t xml:space="preserve">Uzbekspace Annual Report 2023. Uzbek State Space Agency.</w:t>
      </w:r>
    </w:p>
    <w:p>
      <w:pPr>
        <w:numPr>
          <w:ilvl w:val="0"/>
          <w:numId w:val="1004"/>
        </w:numPr>
        <w:pStyle w:val="Compact"/>
      </w:pPr>
      <w:r>
        <w:t xml:space="preserve">UNOOSA (United Nations Office for Outer Space Affairs) Reports on Central Asian Space Development.</w:t>
      </w:r>
    </w:p>
    <w:p>
      <w:pPr>
        <w:numPr>
          <w:ilvl w:val="0"/>
          <w:numId w:val="1004"/>
        </w:numPr>
        <w:pStyle w:val="Compact"/>
      </w:pPr>
      <w:r>
        <w:t xml:space="preserve">Ahmedov, S. (2022). "Higher Education Reform in Post-Soviet Central Asia: The Case of Engineering." Journal of International Education,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Education and Innovation in Uzbekistan Tashkent</dc:title>
  <dc:creator/>
  <dc:language>en</dc:language>
  <cp:keywords/>
  <dcterms:created xsi:type="dcterms:W3CDTF">2026-07-21T05:42:17Z</dcterms:created>
  <dcterms:modified xsi:type="dcterms:W3CDTF">2026-07-21T05:42:17Z</dcterms:modified>
</cp:coreProperties>
</file>

<file path=docProps/custom.xml><?xml version="1.0" encoding="utf-8"?>
<Properties xmlns="http://schemas.openxmlformats.org/officeDocument/2006/custom-properties" xmlns:vt="http://schemas.openxmlformats.org/officeDocument/2006/docPropsVTypes"/>
</file>