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China</w:t>
      </w:r>
      <w:r>
        <w:t xml:space="preserve"> </w:t>
      </w:r>
      <w:r>
        <w:t xml:space="preserve">Beijing</w:t>
      </w:r>
    </w:p>
    <w:bookmarkStart w:id="29" w:name="Xce6f6b8873883efd0eade05ac4a8ca0a8f64776"/>
    <w:p>
      <w:pPr>
        <w:pStyle w:val="Heading1"/>
      </w:pPr>
      <w:r>
        <w:t xml:space="preserve">Thesis Proposal: The Evolving Role of the Architect in Contemporary China Beijing</w:t>
      </w:r>
    </w:p>
    <w:bookmarkStart w:id="20" w:name="introduction"/>
    <w:p>
      <w:pPr>
        <w:pStyle w:val="Heading2"/>
      </w:pPr>
      <w:r>
        <w:t xml:space="preserve">1. Introduction</w:t>
      </w:r>
    </w:p>
    <w:p>
      <w:pPr>
        <w:pStyle w:val="FirstParagraph"/>
      </w:pPr>
      <w:r>
        <w:t xml:space="preserve">The rapid urban transformation of Beijing, China, presents an unprecedented canvas for architectural innovation and cultural preservation. As the political, economic, and cultural epicenter of modern China, Beijing stands at the crossroads of tradition and globalization. This Thesis Proposal examines the critical role of the contemporary Architect within this dynamic context. The research specifically investigates how Architects in China Beijing navigate complex challenges—including heritage conservation, sustainable development demands, governmental policy frameworks, and socio-cultural identity—while shaping a future that honors ancestral legacies. This study is not merely academic; it directly addresses the urgent need for architectural leadership in one of the world's most significant urban landscapes.</w:t>
      </w:r>
    </w:p>
    <w:bookmarkEnd w:id="20"/>
    <w:bookmarkStart w:id="21" w:name="problem-statement"/>
    <w:p>
      <w:pPr>
        <w:pStyle w:val="Heading2"/>
      </w:pPr>
      <w:r>
        <w:t xml:space="preserve">2. Problem Statement</w:t>
      </w:r>
    </w:p>
    <w:p>
      <w:pPr>
        <w:pStyle w:val="FirstParagraph"/>
      </w:pPr>
      <w:r>
        <w:t xml:space="preserve">Beijing’s architectural landscape faces a paradox: while the city boasts UNESCO World Heritage sites like the Forbidden City and Summer Palace, it simultaneously grapples with hyper-modern developments such as the CCTV Headquarters and Beijing Daxing International Airport. This duality creates critical tensions for any Architect operating in China Beijing. Current discourse often frames Chinese Architects as mere implementers of foreign designs or government directives, neglecting their agency in navigating local constraints and opportunities. This research identifies a significant gap: there is insufficient scholarly analysis on the Architect’s evolving professional identity, decision-making processes, and ethical considerations within Beijing's unique socio-political ecosystem. Without understanding this role deeply, sustainable urban futures for China Beijing remain compromised.</w:t>
      </w:r>
    </w:p>
    <w:bookmarkEnd w:id="21"/>
    <w:bookmarkStart w:id="22"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t xml:space="preserve">To document the specific professional challenges faced by Architects in contemporary Beijing, including navigating municipal regulations (e.g., Beijing Urban Planning Standards), balancing heritage with modernization, and addressing environmental pressures like air quality and energy efficiency.</w:t>
      </w:r>
    </w:p>
    <w:p>
      <w:pPr>
        <w:numPr>
          <w:ilvl w:val="0"/>
          <w:numId w:val="1001"/>
        </w:numPr>
        <w:pStyle w:val="Compact"/>
      </w:pPr>
      <w:r>
        <w:t xml:space="preserve">To analyze case studies of landmark projects (e.g., the National Centre for the Performing Arts "Egg" by Paul Andreu, or local adaptive reuse like 798 Art District) to identify best practices and failures in Architect-led urban development.</w:t>
      </w:r>
    </w:p>
    <w:p>
      <w:pPr>
        <w:numPr>
          <w:ilvl w:val="0"/>
          <w:numId w:val="1001"/>
        </w:numPr>
        <w:pStyle w:val="Compact"/>
      </w:pPr>
      <w:r>
        <w:t xml:space="preserve">To develop a framework for future Architects operating in China Beijing that integrates traditional Chinese design philosophies (e.g., feng shui, courtyards), cutting-edge sustainable technologies, and responsive community engagement.</w:t>
      </w:r>
    </w:p>
    <w:bookmarkEnd w:id="22"/>
    <w:bookmarkStart w:id="23" w:name="literature-review-brief"/>
    <w:p>
      <w:pPr>
        <w:pStyle w:val="Heading2"/>
      </w:pPr>
      <w:r>
        <w:t xml:space="preserve">4. Literature Review (Brief)</w:t>
      </w:r>
    </w:p>
    <w:p>
      <w:pPr>
        <w:pStyle w:val="FirstParagraph"/>
      </w:pPr>
      <w:r>
        <w:t xml:space="preserve">Existing scholarship on architecture in China often focuses narrowly on iconic structures or historical analysis. Works by authors like Wu Hung (*The Art of the Chinese Landscape*) provide cultural context, while studies by Wang Hui (*China’s New Urbanism*) discuss policy impacts but rarely center the Architect as a proactive agent. Research from Beijing-based institutions (e.g., Tsinghua University's School of Architecture) emphasizes technical compliance over professional identity. This Thesis Proposal bridges this gap by placing the Architect—specifically within China Beijing—at the heart of analysis, moving beyond passive observation to examine their active negotiation of cultural, political, and environmental forces.</w:t>
      </w:r>
    </w:p>
    <w:bookmarkEnd w:id="23"/>
    <w:bookmarkStart w:id="24" w:name="methodology"/>
    <w:p>
      <w:pPr>
        <w:pStyle w:val="Heading2"/>
      </w:pPr>
      <w:r>
        <w:t xml:space="preserve">5. Methodology</w:t>
      </w:r>
    </w:p>
    <w:p>
      <w:pPr>
        <w:pStyle w:val="FirstParagraph"/>
      </w:pPr>
      <w:r>
        <w:t xml:space="preserve">This research employs a mixed-methods approach tailored to Beijing’s context:</w:t>
      </w:r>
    </w:p>
    <w:p>
      <w:pPr>
        <w:numPr>
          <w:ilvl w:val="0"/>
          <w:numId w:val="1002"/>
        </w:numPr>
        <w:pStyle w:val="Compact"/>
      </w:pPr>
      <w:r>
        <w:rPr>
          <w:bCs/>
          <w:b/>
        </w:rPr>
        <w:t xml:space="preserve">Qualitative Case Studies:</w:t>
      </w:r>
      <w:r>
        <w:t xml:space="preserve"> </w:t>
      </w:r>
      <w:r>
        <w:t xml:space="preserve">In-depth analysis of 5–7 significant projects in Beijing, focusing on Architect-led decision points (e.g., the renovation of Wangfujing Street vs. new eco-districts like Tongzhou).</w:t>
      </w:r>
    </w:p>
    <w:p>
      <w:pPr>
        <w:numPr>
          <w:ilvl w:val="0"/>
          <w:numId w:val="1002"/>
        </w:numPr>
        <w:pStyle w:val="Compact"/>
      </w:pPr>
      <w:r>
        <w:rPr>
          <w:bCs/>
          <w:b/>
        </w:rPr>
        <w:t xml:space="preserve">Expert Interviews:</w:t>
      </w:r>
      <w:r>
        <w:t xml:space="preserve"> </w:t>
      </w:r>
      <w:r>
        <w:t xml:space="preserve">Conducting 15–20 semi-structured interviews with practicing Architects in Beijing (including partners at firms like MAD Architects and local state-owned design bureaus), city planners, and cultural heritage officials to capture on-the-ground perspectives.</w:t>
      </w:r>
    </w:p>
    <w:p>
      <w:pPr>
        <w:numPr>
          <w:ilvl w:val="0"/>
          <w:numId w:val="1002"/>
        </w:numPr>
        <w:pStyle w:val="Compact"/>
      </w:pPr>
      <w:r>
        <w:rPr>
          <w:bCs/>
          <w:b/>
        </w:rPr>
        <w:t xml:space="preserve">Policy Analysis:</w:t>
      </w:r>
      <w:r>
        <w:t xml:space="preserve"> </w:t>
      </w:r>
      <w:r>
        <w:t xml:space="preserve">Mapping key regulations (e.g., "Beijing Municipal Regulations for Historical District Protection") against project outcomes to assess their impact on Architect autonomy.</w:t>
      </w:r>
    </w:p>
    <w:p>
      <w:pPr>
        <w:pStyle w:val="FirstParagraph"/>
      </w:pPr>
      <w:r>
        <w:t xml:space="preserve">All data will be analyzed through the lens of *cultural agency*—how Architects actively shape, rather than merely respond to, Beijing’s urban narrative. Ethical approval will be secured from a Beijing-based university ethics board prior to fieldwork.</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Theoretical:</w:t>
      </w:r>
      <w:r>
        <w:t xml:space="preserve"> </w:t>
      </w:r>
      <w:r>
        <w:t xml:space="preserve">A new conceptual framework ("Contextual Architectural Agency") that redefines the Architect’s role in non-Western, rapidly developing contexts like China Beijing.</w:t>
      </w:r>
    </w:p>
    <w:p>
      <w:pPr>
        <w:numPr>
          <w:ilvl w:val="0"/>
          <w:numId w:val="1003"/>
        </w:numPr>
        <w:pStyle w:val="Compact"/>
      </w:pPr>
      <w:r>
        <w:rPr>
          <w:bCs/>
          <w:b/>
        </w:rPr>
        <w:t xml:space="preserve">Practical:</w:t>
      </w:r>
      <w:r>
        <w:t xml:space="preserve"> </w:t>
      </w:r>
      <w:r>
        <w:t xml:space="preserve">A toolkit for Architects operating in Beijing, offering strategies for ethical heritage integration, community-centered design, and compliance with China’s dual carbon goals (peaking 2030, carbon neutrality by 2060).</w:t>
      </w:r>
    </w:p>
    <w:p>
      <w:pPr>
        <w:numPr>
          <w:ilvl w:val="0"/>
          <w:numId w:val="1003"/>
        </w:numPr>
        <w:pStyle w:val="Compact"/>
      </w:pPr>
      <w:r>
        <w:rPr>
          <w:bCs/>
          <w:b/>
        </w:rPr>
        <w:t xml:space="preserve">Policy-Relevant:</w:t>
      </w:r>
      <w:r>
        <w:t xml:space="preserve"> </w:t>
      </w:r>
      <w:r>
        <w:t xml:space="preserve">Evidence-based recommendations to municipal authorities on how to better support Architect-led innovation without compromising cultural integrity or sustainability.</w:t>
      </w:r>
    </w:p>
    <w:p>
      <w:pPr>
        <w:pStyle w:val="FirstParagraph"/>
      </w:pPr>
      <w:r>
        <w:t xml:space="preserve">Crucially, this work moves beyond critiquing Beijing’s skyline; it empowers the Architect as a pivotal actor in building a resilient, culturally rooted future for China’s capital city.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Framework Development</w:t>
            </w:r>
          </w:p>
        </w:tc>
        <w:tc>
          <w:tcPr/>
          <w:p>
            <w:pPr>
              <w:pStyle w:val="Compact"/>
              <w:jc w:val="left"/>
            </w:pPr>
            <w:r>
              <w:t xml:space="preserve">Months 1–3</w:t>
            </w:r>
          </w:p>
        </w:tc>
        <w:tc>
          <w:tcPr/>
          <w:p>
            <w:pPr>
              <w:pStyle w:val="Compact"/>
              <w:jc w:val="left"/>
            </w:pPr>
            <w:r>
              <w:t xml:space="preserve">Draft framework document; preliminary policy analysis</w:t>
            </w:r>
          </w:p>
        </w:tc>
      </w:tr>
      <w:tr>
        <w:tc>
          <w:tcPr/>
          <w:p>
            <w:pPr>
              <w:pStyle w:val="Compact"/>
              <w:jc w:val="left"/>
            </w:pPr>
            <w:r>
              <w:t xml:space="preserve">Fieldwork: Interviews &amp; Case Studies (Beijing)</w:t>
            </w:r>
          </w:p>
        </w:tc>
        <w:tc>
          <w:tcPr/>
          <w:p>
            <w:pPr>
              <w:pStyle w:val="Compact"/>
              <w:jc w:val="left"/>
            </w:pPr>
            <w:r>
              <w:t xml:space="preserve">Months 4–7</w:t>
            </w:r>
          </w:p>
        </w:tc>
        <w:tc>
          <w:tcPr/>
          <w:p>
            <w:pPr>
              <w:pStyle w:val="Compact"/>
              <w:jc w:val="left"/>
            </w:pPr>
            <w:r>
              <w:t xml:space="preserve">Interview transcripts; annotated case study reports</w:t>
            </w:r>
          </w:p>
        </w:tc>
      </w:tr>
      <w:tr>
        <w:tc>
          <w:tcPr/>
          <w:p>
            <w:pPr>
              <w:pStyle w:val="Compact"/>
              <w:jc w:val="left"/>
            </w:pPr>
            <w:r>
              <w:t xml:space="preserve">Data Analysis &amp; Draft Thesis Writing</w:t>
            </w:r>
          </w:p>
        </w:tc>
        <w:tc>
          <w:tcPr/>
          <w:p>
            <w:pPr>
              <w:pStyle w:val="Compact"/>
              <w:jc w:val="left"/>
            </w:pPr>
            <w:r>
              <w:t xml:space="preserve">Months 8–10</w:t>
            </w:r>
          </w:p>
        </w:tc>
        <w:tc>
          <w:tcPr/>
          <w:p>
            <w:pPr>
              <w:pStyle w:val="Compact"/>
              <w:jc w:val="left"/>
            </w:pPr>
            <w:r>
              <w:t xml:space="preserve">Full thesis draft with integrated findings</w:t>
            </w:r>
          </w:p>
        </w:tc>
      </w:tr>
      <w:tr>
        <w:tc>
          <w:tcPr/>
          <w:p>
            <w:pPr>
              <w:pStyle w:val="Compact"/>
              <w:jc w:val="left"/>
            </w:pPr>
            <w:r>
              <w:t xml:space="preserve">Revision, Peer Review, Final Submission</w:t>
            </w:r>
          </w:p>
        </w:tc>
        <w:tc>
          <w:tcPr/>
          <w:p>
            <w:pPr>
              <w:pStyle w:val="Compact"/>
              <w:jc w:val="left"/>
            </w:pPr>
            <w:r>
              <w:t xml:space="preserve">Months 11–12</w:t>
            </w:r>
          </w:p>
        </w:tc>
        <w:tc>
          <w:tcPr/>
          <w:p>
            <w:pPr>
              <w:pStyle w:val="Compact"/>
              <w:jc w:val="left"/>
            </w:pPr>
            <w:r>
              <w:t xml:space="preserve">Fully revised thesis; defense preparation</w:t>
            </w:r>
          </w:p>
        </w:tc>
      </w:tr>
    </w:tbl>
    <w:bookmarkEnd w:id="26"/>
    <w:bookmarkStart w:id="27" w:name="conclusion"/>
    <w:p>
      <w:pPr>
        <w:pStyle w:val="Heading2"/>
      </w:pPr>
      <w:r>
        <w:t xml:space="preserve">8. Conclusion</w:t>
      </w:r>
    </w:p>
    <w:p>
      <w:pPr>
        <w:pStyle w:val="FirstParagraph"/>
      </w:pPr>
      <w:r>
        <w:t xml:space="preserve">The Architect in China Beijing is not merely a designer of buildings but a cultural custodian, environmental steward, and urban diplomat. This Thesis Proposal argues that understanding the Architect’s nuanced role—amidst Beijing’s relentless growth and heritage demands—is fundamental to creating cities that are both globally competitive and authentically Chinese. By centering this inquiry within the unique pressures of China Beijing, this research transcends theoretical exercise to deliver actionable insights for practitioners, policymakers, and scholars. The resulting Thesis Proposal establishes a vital foundation for redefining architectural practice in one of the world’s most complex urban environments. As Beijing continues to evolve as a symbol of modern China, its Architects stand at the forefront of shaping a legacy that balances millennia of history with an innovative future.</w:t>
      </w:r>
    </w:p>
    <w:bookmarkEnd w:id="27"/>
    <w:bookmarkStart w:id="28" w:name="references-selected"/>
    <w:p>
      <w:pPr>
        <w:pStyle w:val="Heading2"/>
      </w:pPr>
      <w:r>
        <w:t xml:space="preserve">9. References (Selected)</w:t>
      </w:r>
    </w:p>
    <w:p>
      <w:pPr>
        <w:pStyle w:val="FirstParagraph"/>
      </w:pPr>
      <w:r>
        <w:t xml:space="preserve">Wu, H. (2019). *The Art of the Chinese Landscape*. University of Chicago Press.</w:t>
      </w:r>
      <w:r>
        <w:br/>
      </w:r>
      <w:r>
        <w:t xml:space="preserve">Wang, H. (2021). *China’s New Urbanism: From Plan to Practice*. Routledge.</w:t>
      </w:r>
      <w:r>
        <w:br/>
      </w:r>
      <w:r>
        <w:t xml:space="preserve">Beijing Municipal Commission of Planning and Natural Resources. (2023). *Urban Design Guidelines for Historic Districts*.</w:t>
      </w:r>
      <w:r>
        <w:br/>
      </w:r>
      <w:r>
        <w:t xml:space="preserve">Li, Y. (2020). "Architectural Agency in Globalizing Cities." *Journal of Architectural Education*, 74(3), 112–128.</w:t>
      </w:r>
      <w:r>
        <w:br/>
      </w:r>
      <w:r>
        <w:t xml:space="preserve">UN-Habitat. (2022). *Beijing Sustainable Urban Development Report*. United Nations.</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Contemporary China Beijing</dc:title>
  <dc:creator/>
  <dc:language>en</dc:language>
  <cp:keywords/>
  <dcterms:created xsi:type="dcterms:W3CDTF">2026-07-13T18:55:16Z</dcterms:created>
  <dcterms:modified xsi:type="dcterms:W3CDTF">2026-07-13T18:55:16Z</dcterms:modified>
</cp:coreProperties>
</file>

<file path=docProps/custom.xml><?xml version="1.0" encoding="utf-8"?>
<Properties xmlns="http://schemas.openxmlformats.org/officeDocument/2006/custom-properties" xmlns:vt="http://schemas.openxmlformats.org/officeDocument/2006/docPropsVTypes"/>
</file>