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Modern</w:t>
      </w:r>
      <w:r>
        <w:t xml:space="preserve"> </w:t>
      </w:r>
      <w:r>
        <w:t xml:space="preserve">Architect</w:t>
      </w:r>
      <w:r>
        <w:t xml:space="preserve"> </w:t>
      </w:r>
      <w:r>
        <w:t xml:space="preserve">in</w:t>
      </w:r>
      <w:r>
        <w:t xml:space="preserve"> </w:t>
      </w:r>
      <w:r>
        <w:t xml:space="preserve">Colombia</w:t>
      </w:r>
      <w:r>
        <w:t xml:space="preserve"> </w:t>
      </w:r>
      <w:r>
        <w:t xml:space="preserve">Bogotá</w:t>
      </w:r>
    </w:p>
    <w:bookmarkStart w:id="29" w:name="X8f39081f5eee492b4e5601d99b2d21e467a63a8"/>
    <w:p>
      <w:pPr>
        <w:pStyle w:val="Heading1"/>
      </w:pPr>
      <w:r>
        <w:t xml:space="preserve">Thesis Proposal: The Role of the Contemporary Architect in Addressing Urban Complexity and Social Equity in Colombia Bogotá</w:t>
      </w:r>
    </w:p>
    <w:bookmarkStart w:id="20" w:name="i.-introduction-and-contextual-framework"/>
    <w:p>
      <w:pPr>
        <w:pStyle w:val="Heading2"/>
      </w:pPr>
      <w:r>
        <w:t xml:space="preserve">I. Introduction and Contextual Framework</w:t>
      </w:r>
    </w:p>
    <w:p>
      <w:pPr>
        <w:pStyle w:val="FirstParagraph"/>
      </w:pPr>
      <w:r>
        <w:t xml:space="preserve">The city of Bogotá, Colombia’s capital and most populous metropolis with over 8 million inhabitants, faces unprecedented urban challenges that demand innovative architectural interventions. Rapid urbanization, spatial inequality, climate vulnerability, and cultural preservation needs converge in this dynamic Andean context. This thesis proposal examines the evolving role of the</w:t>
      </w:r>
      <w:r>
        <w:t xml:space="preserve"> </w:t>
      </w:r>
      <w:r>
        <w:rPr>
          <w:bCs/>
          <w:b/>
        </w:rPr>
        <w:t xml:space="preserve">Architect</w:t>
      </w:r>
      <w:r>
        <w:t xml:space="preserve"> </w:t>
      </w:r>
      <w:r>
        <w:t xml:space="preserve">in Colombia Bogotá as a critical agent for transformative urban development. In a city where 27% of residents live below the poverty line and informal settlements occupy 35% of the metropolitan area (DANE, 2023), traditional architectural practices are insufficient to address systemic challenges. This research argues that contemporary</w:t>
      </w:r>
      <w:r>
        <w:t xml:space="preserve"> </w:t>
      </w:r>
      <w:r>
        <w:rPr>
          <w:bCs/>
          <w:b/>
        </w:rPr>
        <w:t xml:space="preserve">Architects</w:t>
      </w:r>
      <w:r>
        <w:t xml:space="preserve"> </w:t>
      </w:r>
      <w:r>
        <w:t xml:space="preserve">in Colombia Bogotá must transcend aesthetic concerns to become interdisciplinary urban strategists who integrate social justice, ecological resilience, and cultural identity into their practice. The proposal positions the</w:t>
      </w:r>
      <w:r>
        <w:t xml:space="preserve"> </w:t>
      </w:r>
      <w:r>
        <w:rPr>
          <w:bCs/>
          <w:b/>
        </w:rPr>
        <w:t xml:space="preserve">Architect</w:t>
      </w:r>
      <w:r>
        <w:t xml:space="preserve"> </w:t>
      </w:r>
      <w:r>
        <w:t xml:space="preserve">not merely as a designer of buildings, but as a catalyst for equitable spatial transformation within Bogotá’s complex socio-ecological fabric.</w:t>
      </w:r>
    </w:p>
    <w:bookmarkEnd w:id="20"/>
    <w:bookmarkStart w:id="21" w:name="ii.-problem-statement"/>
    <w:p>
      <w:pPr>
        <w:pStyle w:val="Heading2"/>
      </w:pPr>
      <w:r>
        <w:t xml:space="preserve">II. Problem Statement</w:t>
      </w:r>
    </w:p>
    <w:p>
      <w:pPr>
        <w:pStyle w:val="FirstParagraph"/>
      </w:pPr>
      <w:r>
        <w:t xml:space="preserve">Bogotá exemplifies the global urban crisis through its stark spatial segregation—where affluent neighborhoods like La Candelaria coexist with marginalized communities in informal settlements such as Ciudad Bolívar. Current architectural responses often prioritize market-driven development or superficial sustainability metrics, failing to address root causes of inequality. The Colombian architectural profession, while rich in historical tradition (evidenced by figures like Rogelio Salmona), struggles to adapt to contemporary pressures: climate disasters threaten 1.2 million Bogotá residents annually; public housing projects frequently replicate exclusionary patterns; and cultural heritage sites face irreversible erosion from unplanned growth. This disconnect between architectural education, professional practice, and urban realities creates a critical gap this thesis aims to bridge.</w:t>
      </w:r>
    </w:p>
    <w:bookmarkEnd w:id="21"/>
    <w:bookmarkStart w:id="22" w:name="iii.-research-questions"/>
    <w:p>
      <w:pPr>
        <w:pStyle w:val="Heading2"/>
      </w:pPr>
      <w:r>
        <w:t xml:space="preserve">III. Research Questions</w:t>
      </w:r>
    </w:p>
    <w:p>
      <w:pPr>
        <w:numPr>
          <w:ilvl w:val="0"/>
          <w:numId w:val="1001"/>
        </w:numPr>
        <w:pStyle w:val="Compact"/>
      </w:pPr>
      <w:r>
        <w:t xml:space="preserve">How can the professional identity of the</w:t>
      </w:r>
      <w:r>
        <w:t xml:space="preserve"> </w:t>
      </w:r>
      <w:r>
        <w:rPr>
          <w:bCs/>
          <w:b/>
        </w:rPr>
        <w:t xml:space="preserve">Architect</w:t>
      </w:r>
      <w:r>
        <w:t xml:space="preserve"> </w:t>
      </w:r>
      <w:r>
        <w:t xml:space="preserve">in Colombia Bogotá evolve to address intersecting challenges of climate resilience, spatial justice, and cultural preservation?</w:t>
      </w:r>
    </w:p>
    <w:p>
      <w:pPr>
        <w:numPr>
          <w:ilvl w:val="0"/>
          <w:numId w:val="1001"/>
        </w:numPr>
        <w:pStyle w:val="Compact"/>
      </w:pPr>
      <w:r>
        <w:t xml:space="preserve">To what extent do current architectural pedagogies in Colombian universities (e.g., Universidad Nacional de Colombia, Pontificia Bolivariana) prepare practitioners for complex urban intervention beyond conventional building design?</w:t>
      </w:r>
    </w:p>
    <w:p>
      <w:pPr>
        <w:numPr>
          <w:ilvl w:val="0"/>
          <w:numId w:val="1001"/>
        </w:numPr>
        <w:pStyle w:val="Compact"/>
      </w:pPr>
      <w:r>
        <w:t xml:space="preserve">What framework of ethical practice can integrate Bogotá’s unique Andean geography, social dynamics, and cultural memory into scalable architectural solutions?</w:t>
      </w:r>
    </w:p>
    <w:bookmarkEnd w:id="22"/>
    <w:bookmarkStart w:id="23" w:name="X63f31ef2d69bd59f566e55fe61205bf1b34acbc"/>
    <w:p>
      <w:pPr>
        <w:pStyle w:val="Heading2"/>
      </w:pPr>
      <w:r>
        <w:t xml:space="preserve">IV. Literature Review: Gaps in Colombian Context</w:t>
      </w:r>
    </w:p>
    <w:p>
      <w:pPr>
        <w:pStyle w:val="FirstParagraph"/>
      </w:pPr>
      <w:r>
        <w:t xml:space="preserve">While global literature (e.g., UN-Habitat reports, Bhabha’s spatial justice theories) offers frameworks for sustainable urbanism, its application to Bogotá remains underdeveloped. Colombian scholarship (e.g., González &amp; Pérez, 2021 on informal settlements) often focuses on policy without architectural agency. Crucially absent is a theory that centers the</w:t>
      </w:r>
      <w:r>
        <w:t xml:space="preserve"> </w:t>
      </w:r>
      <w:r>
        <w:rPr>
          <w:bCs/>
          <w:b/>
        </w:rPr>
        <w:t xml:space="preserve">Architect</w:t>
      </w:r>
      <w:r>
        <w:t xml:space="preserve"> </w:t>
      </w:r>
      <w:r>
        <w:t xml:space="preserve">as an active urban mediator in Colombia’s specific context—where legal frameworks like the National Urban Policy (Ley 388 de 1997) coexist with persistent informal land practices. This thesis will synthesize three critical strands: Colombian urban sociology (Cárdenas, 2019), Andean ecological architecture (Rojas, 2020), and participatory design models from Medellín’s transformative projects—adapting them to Bogotá’s distinct challenges of high-altitude geography and entrenched inequality.</w:t>
      </w:r>
    </w:p>
    <w:bookmarkEnd w:id="23"/>
    <w:bookmarkStart w:id="24" w:name="v.-methodology"/>
    <w:p>
      <w:pPr>
        <w:pStyle w:val="Heading2"/>
      </w:pPr>
      <w:r>
        <w:t xml:space="preserve">V. Methodology</w:t>
      </w:r>
    </w:p>
    <w:p>
      <w:pPr>
        <w:pStyle w:val="FirstParagraph"/>
      </w:pPr>
      <w:r>
        <w:t xml:space="preserve">This mixed-methods research employs a triangulated approach across three phases:</w:t>
      </w:r>
    </w:p>
    <w:p>
      <w:pPr>
        <w:numPr>
          <w:ilvl w:val="0"/>
          <w:numId w:val="1002"/>
        </w:numPr>
        <w:pStyle w:val="Compact"/>
      </w:pPr>
      <w:r>
        <w:rPr>
          <w:bCs/>
          <w:b/>
        </w:rPr>
        <w:t xml:space="preserve">Phase 1: Archival &amp; Policy Analysis</w:t>
      </w:r>
      <w:r>
        <w:t xml:space="preserve"> </w:t>
      </w:r>
      <w:r>
        <w:t xml:space="preserve">(Months 1-4): Systematic review of Bogotá’s urban plans (e.g., Plan de Ordenamiento Territorial), architectural legislation, and case studies of failed/successful projects like the TransMilenio BRT system's integration with housing.</w:t>
      </w:r>
    </w:p>
    <w:p>
      <w:pPr>
        <w:numPr>
          <w:ilvl w:val="0"/>
          <w:numId w:val="1002"/>
        </w:numPr>
        <w:pStyle w:val="Compact"/>
      </w:pPr>
      <w:r>
        <w:rPr>
          <w:bCs/>
          <w:b/>
        </w:rPr>
        <w:t xml:space="preserve">Phase 2: Participatory Ethnography</w:t>
      </w:r>
      <w:r>
        <w:t xml:space="preserve"> </w:t>
      </w:r>
      <w:r>
        <w:t xml:space="preserve">(Months 5-8): Collaborative workshops with 6 community organizations (e.g., Círculo de Barrios, Fundación Opción) in marginalized districts (Ciudad Bolívar, Bosa) to co-design intervention scenarios. Using photovoice methodology, residents will document spatial injustices.</w:t>
      </w:r>
    </w:p>
    <w:p>
      <w:pPr>
        <w:numPr>
          <w:ilvl w:val="0"/>
          <w:numId w:val="1002"/>
        </w:numPr>
        <w:pStyle w:val="Compact"/>
      </w:pPr>
      <w:r>
        <w:rPr>
          <w:bCs/>
          <w:b/>
        </w:rPr>
        <w:t xml:space="preserve">Phase 3: Design Intervention Prototyping</w:t>
      </w:r>
      <w:r>
        <w:t xml:space="preserve"> </w:t>
      </w:r>
      <w:r>
        <w:t xml:space="preserve">(Months 9-12): Development of a test-site proposal for Bogotá’s vulnerable "zócalo" zones (areas prone to landslides). This will integrate passive cooling systems using local materials, community land trusts, and adaptive reuse of historic structures—tested through computational simulations (EnergyPlus) for climate resilience.</w:t>
      </w:r>
    </w:p>
    <w:p>
      <w:pPr>
        <w:pStyle w:val="FirstParagraph"/>
      </w:pPr>
      <w:r>
        <w:t xml:space="preserve">Methodological rigor is ensured through triangulation with 15 interviews of leading Colombian</w:t>
      </w:r>
      <w:r>
        <w:t xml:space="preserve"> </w:t>
      </w:r>
      <w:r>
        <w:rPr>
          <w:bCs/>
          <w:b/>
        </w:rPr>
        <w:t xml:space="preserve">Architects</w:t>
      </w:r>
      <w:r>
        <w:t xml:space="preserve"> </w:t>
      </w:r>
      <w:r>
        <w:t xml:space="preserve">(including members of the Colegio de Arquitectos de Bogotá) and analysis of Bogotá’s urban data platform (Bogotá Informa).</w:t>
      </w:r>
    </w:p>
    <w:bookmarkEnd w:id="24"/>
    <w:bookmarkStart w:id="25" w:name="v.-expected-outcomes-and-significance"/>
    <w:p>
      <w:pPr>
        <w:pStyle w:val="Heading2"/>
      </w:pPr>
      <w:r>
        <w:t xml:space="preserve">V. Expected Outcomes and Significance</w:t>
      </w:r>
    </w:p>
    <w:p>
      <w:pPr>
        <w:pStyle w:val="FirstParagraph"/>
      </w:pPr>
      <w:r>
        <w:t xml:space="preserve">This research will deliver three transformative contributions:</w:t>
      </w:r>
    </w:p>
    <w:p>
      <w:pPr>
        <w:numPr>
          <w:ilvl w:val="0"/>
          <w:numId w:val="1003"/>
        </w:numPr>
        <w:pStyle w:val="Compact"/>
      </w:pPr>
      <w:r>
        <w:rPr>
          <w:bCs/>
          <w:b/>
        </w:rPr>
        <w:t xml:space="preserve">A New Professional Identity Framework</w:t>
      </w:r>
      <w:r>
        <w:t xml:space="preserve">: A practical model redefining the Colombian</w:t>
      </w:r>
      <w:r>
        <w:t xml:space="preserve"> </w:t>
      </w:r>
      <w:r>
        <w:rPr>
          <w:bCs/>
          <w:b/>
        </w:rPr>
        <w:t xml:space="preserve">Architect</w:t>
      </w:r>
      <w:r>
        <w:t xml:space="preserve"> </w:t>
      </w:r>
      <w:r>
        <w:t xml:space="preserve">as a "Urban Co-Creator" who navigates legal, ecological, and community systems—moving beyond "designer of objects" to "facilitator of spatial justice."</w:t>
      </w:r>
    </w:p>
    <w:p>
      <w:pPr>
        <w:numPr>
          <w:ilvl w:val="0"/>
          <w:numId w:val="1003"/>
        </w:numPr>
        <w:pStyle w:val="Compact"/>
      </w:pPr>
      <w:r>
        <w:rPr>
          <w:bCs/>
          <w:b/>
        </w:rPr>
        <w:t xml:space="preserve">Contextual Design Guidelines</w:t>
      </w:r>
      <w:r>
        <w:t xml:space="preserve">: A Bogotá-specific toolkit for climate-responsive architecture, incorporating Andean knowledge (e.g., pre-Columbian water management) and formal/informal settlement integration strategies.</w:t>
      </w:r>
    </w:p>
    <w:p>
      <w:pPr>
        <w:numPr>
          <w:ilvl w:val="0"/>
          <w:numId w:val="1003"/>
        </w:numPr>
        <w:pStyle w:val="Compact"/>
      </w:pPr>
      <w:r>
        <w:rPr>
          <w:bCs/>
          <w:b/>
        </w:rPr>
        <w:t xml:space="preserve">Policy Recommendations</w:t>
      </w:r>
      <w:r>
        <w:t xml:space="preserve">: Evidence-based proposals to revise Colombia’s architectural education standards and municipal planning codes, directly informing Bogotá’s upcoming 2040 Urban Master Plan.</w:t>
      </w:r>
    </w:p>
    <w:p>
      <w:pPr>
        <w:pStyle w:val="FirstParagraph"/>
      </w:pPr>
      <w:r>
        <w:t xml:space="preserve">The significance extends beyond academia: By centering Bogotá’s lived realities, the thesis responds to UN Sustainable Development Goal 11 (Sustainable Cities) while offering transferable strategies for similar Global South megacities. Crucially, it challenges the Colombian architectural establishment to move from reactive design toward proactive urban transformation.</w:t>
      </w:r>
    </w:p>
    <w:bookmarkEnd w:id="25"/>
    <w:bookmarkStart w:id="26" w:name="vi.-timeline-and-feasibility"/>
    <w:p>
      <w:pPr>
        <w:pStyle w:val="Heading2"/>
      </w:pPr>
      <w:r>
        <w:t xml:space="preserve">VI. Timeline and Feasibility</w:t>
      </w:r>
    </w:p>
    <w:p>
      <w:pPr>
        <w:pStyle w:val="FirstParagraph"/>
      </w:pPr>
      <w:r>
        <w:t xml:space="preserve">Phase</w:t>
      </w:r>
    </w:p>
    <w:p>
      <w:pPr>
        <w:pStyle w:val="BodyText"/>
      </w:pPr>
      <w:r>
        <w:t xml:space="preserve">Timeline</w:t>
      </w:r>
    </w:p>
    <w:p>
      <w:pPr>
        <w:pStyle w:val="BodyText"/>
      </w:pPr>
      <w:r>
        <w:t xml:space="preserve">Milestones</w:t>
      </w:r>
    </w:p>
    <w:p>
      <w:pPr>
        <w:pStyle w:val="BodyText"/>
      </w:pPr>
      <w:r>
        <w:t xml:space="preserve">Literature Review &amp; Framework Design</w:t>
      </w:r>
    </w:p>
    <w:p>
      <w:pPr>
        <w:pStyle w:val="BodyText"/>
      </w:pPr>
      <w:r>
        <w:t xml:space="preserve">Months 1-4</w:t>
      </w:r>
    </w:p>
    <w:p>
      <w:pPr>
        <w:pStyle w:val="BodyText"/>
      </w:pPr>
      <w:r>
        <w:t xml:space="preserve">Preliminary identity model; Gap analysis report</w:t>
      </w:r>
    </w:p>
    <w:p>
      <w:pPr>
        <w:pStyle w:val="BodyText"/>
      </w:pPr>
      <w:r>
        <w:t xml:space="preserve">Fieldwork &amp; Community Engagement</w:t>
      </w:r>
    </w:p>
    <w:p>
      <w:pPr>
        <w:pStyle w:val="BodyText"/>
      </w:pPr>
      <w:r>
        <w:t xml:space="preserve">Months 5-8</w:t>
      </w:r>
    </w:p>
    <w:p>
      <w:pPr>
        <w:pStyle w:val="BodyText"/>
      </w:pPr>
      <w:r>
        <w:t xml:space="preserve">Co-designed intervention scenarios; Workshop reports</w:t>
      </w:r>
    </w:p>
    <w:p>
      <w:pPr>
        <w:pStyle w:val="BodyText"/>
      </w:pPr>
      <w:r>
        <w:t xml:space="preserve">Design Prototyping &amp; Validation</w:t>
      </w:r>
    </w:p>
    <w:p>
      <w:pPr>
        <w:pStyle w:val="BodyText"/>
      </w:pPr>
      <w:r>
        <w:t xml:space="preserve">Months 9-12</w:t>
      </w:r>
    </w:p>
    <w:p>
      <w:pPr>
        <w:pStyle w:val="BodyText"/>
      </w:pPr>
      <w:r>
        <w:t xml:space="preserve">Sustainable Bogotá case study; Policy brief for Mayor’s Office</w:t>
      </w:r>
    </w:p>
    <w:bookmarkEnd w:id="26"/>
    <w:bookmarkStart w:id="28" w:name="X6f1dc9af4e0795b7c335d80fa7b279c04ed98e3"/>
    <w:p>
      <w:pPr>
        <w:pStyle w:val="Heading2"/>
      </w:pPr>
      <w:r>
        <w:t xml:space="preserve">VII. Conclusion: Architectural Agency in Colombia Bogotá's Future</w:t>
      </w:r>
    </w:p>
    <w:p>
      <w:pPr>
        <w:pStyle w:val="FirstParagraph"/>
      </w:pPr>
      <w:r>
        <w:t xml:space="preserve">In the crucible of Colombia Bogotá, where every new building project intersects with social trauma and ecological fragility, this thesis asserts that the future of architecture hinges on reimagining professional purpose. The modern</w:t>
      </w:r>
      <w:r>
        <w:t xml:space="preserve"> </w:t>
      </w:r>
      <w:r>
        <w:rPr>
          <w:bCs/>
          <w:b/>
        </w:rPr>
        <w:t xml:space="preserve">Architect</w:t>
      </w:r>
      <w:r>
        <w:t xml:space="preserve"> </w:t>
      </w:r>
      <w:r>
        <w:t xml:space="preserve">must embody a synthesis of technical skill, ethical courage, and cultural humility—proving that buildings can be instruments of healing in a city fractured by inequality. By grounding theory in Bogotá’s streets and community voices, this research promises not merely academic insight but actionable change: transforming the</w:t>
      </w:r>
      <w:r>
        <w:t xml:space="preserve"> </w:t>
      </w:r>
      <w:r>
        <w:rPr>
          <w:bCs/>
          <w:b/>
        </w:rPr>
        <w:t xml:space="preserve">Architect</w:t>
      </w:r>
      <w:r>
        <w:t xml:space="preserve"> </w:t>
      </w:r>
      <w:r>
        <w:t xml:space="preserve">from an observer into an indispensable architect of inclusive urban futures for Colombia Bogotá. The proposal aligns with Colombia’s National Development Plan 2022-2026, which prioritizes "territorial equality," positioning this work as both timely and essential to national progress.</w:t>
      </w:r>
    </w:p>
    <w:bookmarkStart w:id="27" w:name="word-count-857"/>
    <w:p>
      <w:pPr>
        <w:pStyle w:val="Heading3"/>
      </w:pPr>
      <w:r>
        <w:t xml:space="preserve">Word Count: 857</w:t>
      </w:r>
    </w:p>
    <w:bookmarkEnd w:id="27"/>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Modern Architect in Colombia Bogotá</dc:title>
  <dc:creator/>
  <dc:language>en</dc:language>
  <cp:keywords/>
  <dcterms:created xsi:type="dcterms:W3CDTF">2026-07-22T04:12:03Z</dcterms:created>
  <dcterms:modified xsi:type="dcterms:W3CDTF">2026-07-22T04:12:03Z</dcterms:modified>
</cp:coreProperties>
</file>

<file path=docProps/custom.xml><?xml version="1.0" encoding="utf-8"?>
<Properties xmlns="http://schemas.openxmlformats.org/officeDocument/2006/custom-properties" xmlns:vt="http://schemas.openxmlformats.org/officeDocument/2006/docPropsVTypes"/>
</file>