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406970550b4ebfe16dce20bad18afbbcdb6d509"/>
    <w:p>
      <w:pPr>
        <w:pStyle w:val="Heading1"/>
      </w:pPr>
      <w:r>
        <w:t xml:space="preserve">Thesis Proposal: Advancing Sustainable and Culturally Resonant Architecture in Kuwait City, Kuwait</w:t>
      </w:r>
    </w:p>
    <w:bookmarkStart w:id="20" w:name="Xcdc4b17065f22bd349c9cf0bd47e6369cfd1b7e"/>
    <w:p>
      <w:pPr>
        <w:pStyle w:val="Heading2"/>
      </w:pPr>
      <w:r>
        <w:t xml:space="preserve">Introduction: The Urgent Imperative for Architectural Innovation in Kuwait City</w:t>
      </w:r>
    </w:p>
    <w:p>
      <w:pPr>
        <w:pStyle w:val="FirstParagraph"/>
      </w:pPr>
      <w:r>
        <w:t xml:space="preserve">The rapid urbanization of</w:t>
      </w:r>
      <w:r>
        <w:t xml:space="preserve"> </w:t>
      </w:r>
      <w:r>
        <w:rPr>
          <w:bCs/>
          <w:b/>
        </w:rPr>
        <w:t xml:space="preserve">Kuwait City, Kuwait</w:t>
      </w:r>
      <w:r>
        <w:t xml:space="preserve"> </w:t>
      </w:r>
      <w:r>
        <w:t xml:space="preserve">has positioned it as a dynamic yet complex architectural frontier. As the capital and economic heart of Kuwait, this metropolis faces unprecedented challenges—extreme climatic conditions, cultural preservation needs, and the demand for sustainable development. This</w:t>
      </w:r>
      <w:r>
        <w:t xml:space="preserve"> </w:t>
      </w:r>
      <w:r>
        <w:rPr>
          <w:bCs/>
          <w:b/>
        </w:rPr>
        <w:t xml:space="preserve">Thesis Proposal</w:t>
      </w:r>
      <w:r>
        <w:t xml:space="preserve"> </w:t>
      </w:r>
      <w:r>
        <w:t xml:space="preserve">addresses a critical gap in contemporary architectural discourse: the urgent need for an</w:t>
      </w:r>
      <w:r>
        <w:t xml:space="preserve"> </w:t>
      </w:r>
      <w:r>
        <w:rPr>
          <w:bCs/>
          <w:b/>
        </w:rPr>
        <w:t xml:space="preserve">Architect</w:t>
      </w:r>
      <w:r>
        <w:t xml:space="preserve"> </w:t>
      </w:r>
      <w:r>
        <w:t xml:space="preserve">who can synthesize environmental responsiveness, cultural heritage, and modern functionality within Kuwait City's unique urban fabric. Without intentional design leadership, Kuwait City risks becoming a collection of generic high-rises that disregard its Bedouin roots and environmental realities. This research asserts that the role of the</w:t>
      </w:r>
      <w:r>
        <w:t xml:space="preserve"> </w:t>
      </w:r>
      <w:r>
        <w:rPr>
          <w:bCs/>
          <w:b/>
        </w:rPr>
        <w:t xml:space="preserve">Architect</w:t>
      </w:r>
      <w:r>
        <w:t xml:space="preserve"> </w:t>
      </w:r>
      <w:r>
        <w:t xml:space="preserve">in</w:t>
      </w:r>
      <w:r>
        <w:t xml:space="preserve"> </w:t>
      </w:r>
      <w:r>
        <w:rPr>
          <w:bCs/>
          <w:b/>
        </w:rPr>
        <w:t xml:space="preserve">Kuwait Kuwait City</w:t>
      </w:r>
      <w:r>
        <w:t xml:space="preserve"> </w:t>
      </w:r>
      <w:r>
        <w:t xml:space="preserve">must evolve from mere building designer to cultural steward and ecological innovator.</w:t>
      </w:r>
    </w:p>
    <w:bookmarkEnd w:id="20"/>
    <w:bookmarkStart w:id="21" w:name="Xdc93ffab0f3baf161a218f3b6dd0273ca04a21e"/>
    <w:p>
      <w:pPr>
        <w:pStyle w:val="Heading2"/>
      </w:pPr>
      <w:r>
        <w:t xml:space="preserve">Problem Statement: The Current Architectural Landscape in Kuwait City</w:t>
      </w:r>
    </w:p>
    <w:p>
      <w:pPr>
        <w:pStyle w:val="FirstParagraph"/>
      </w:pPr>
      <w:r>
        <w:t xml:space="preserve">Kuwait City’s skyline, dominated by glass-and-steel towers, reflects a colonial-era approach that prioritizes speed over sustainability. According to the Kuwait National Climate Change Plan (2019), buildings consume 65% of the nation’s energy, with no significant adaptation to 50°C summer temperatures. Simultaneously, rapid development has eroded historic neighborhoods like Souq Al-Mubarakiya, diminishing cultural continuity. The absence of a localized architectural framework—where</w:t>
      </w:r>
      <w:r>
        <w:t xml:space="preserve"> </w:t>
      </w:r>
      <w:r>
        <w:rPr>
          <w:bCs/>
          <w:b/>
        </w:rPr>
        <w:t xml:space="preserve">Architect</w:t>
      </w:r>
      <w:r>
        <w:t xml:space="preserve"> </w:t>
      </w:r>
      <w:r>
        <w:t xml:space="preserve">practices integrate traditional wind towers (barjeel), vernacular materials, and Islamic spatial principles—has resulted in urban environments that feel alien to Kuwaitis. This research contends that the current trajectory lacks a holistic vision for the</w:t>
      </w:r>
      <w:r>
        <w:t xml:space="preserve"> </w:t>
      </w:r>
      <w:r>
        <w:rPr>
          <w:bCs/>
          <w:b/>
        </w:rPr>
        <w:t xml:space="preserve">Architect</w:t>
      </w:r>
      <w:r>
        <w:t xml:space="preserve">, who remains disconnected from both community needs and environmental imperatives in</w:t>
      </w:r>
      <w:r>
        <w:t xml:space="preserve"> </w:t>
      </w:r>
      <w:r>
        <w:rPr>
          <w:bCs/>
          <w:b/>
        </w:rPr>
        <w:t xml:space="preserve">Kuwait City</w:t>
      </w:r>
      <w:r>
        <w:t xml:space="preserve">.</w:t>
      </w:r>
    </w:p>
    <w:bookmarkEnd w:id="21"/>
    <w:bookmarkStart w:id="22" w:name="Xa7fe10bdda2bc3c54acb2c413e1d268f8c262a3"/>
    <w:p>
      <w:pPr>
        <w:pStyle w:val="Heading2"/>
      </w:pPr>
      <w:r>
        <w:t xml:space="preserve">Research Questions: Guiding Architectural Transformation</w:t>
      </w:r>
    </w:p>
    <w:p>
      <w:pPr>
        <w:numPr>
          <w:ilvl w:val="0"/>
          <w:numId w:val="1001"/>
        </w:numPr>
        <w:pStyle w:val="Compact"/>
      </w:pPr>
      <w:r>
        <w:rPr>
          <w:iCs/>
          <w:i/>
        </w:rPr>
        <w:t xml:space="preserve">How can an Architect in Kuwait City, Kuwait develop design strategies that harmonize sustainability with cultural identity?</w:t>
      </w:r>
    </w:p>
    <w:p>
      <w:pPr>
        <w:numPr>
          <w:ilvl w:val="0"/>
          <w:numId w:val="1001"/>
        </w:numPr>
        <w:pStyle w:val="Compact"/>
      </w:pPr>
      <w:r>
        <w:rPr>
          <w:iCs/>
          <w:i/>
        </w:rPr>
        <w:t xml:space="preserve">What institutional frameworks are necessary to empower Architects to prioritize climate-responsive design over short-term commercial gains?</w:t>
      </w:r>
    </w:p>
    <w:p>
      <w:pPr>
        <w:numPr>
          <w:ilvl w:val="0"/>
          <w:numId w:val="1001"/>
        </w:numPr>
        <w:pStyle w:val="Compact"/>
      </w:pPr>
      <w:r>
        <w:rPr>
          <w:iCs/>
          <w:i/>
        </w:rPr>
        <w:t xml:space="preserve">How might digital tools and local craftsmanship coalesce to create contextually authentic architecture in Kuwait City?</w:t>
      </w:r>
    </w:p>
    <w:bookmarkEnd w:id="22"/>
    <w:bookmarkStart w:id="23" w:name="X9175c22b1ce37b55902d975c0673061f8636d0d"/>
    <w:p>
      <w:pPr>
        <w:pStyle w:val="Heading2"/>
      </w:pPr>
      <w:r>
        <w:t xml:space="preserve">Literature Review: Bridging Global Insights with Local Context</w:t>
      </w:r>
    </w:p>
    <w:p>
      <w:pPr>
        <w:pStyle w:val="FirstParagraph"/>
      </w:pPr>
      <w:r>
        <w:t xml:space="preserve">Existing scholarship on Gulf architecture (e.g., Al-Mansour, 2018; Al-Saraj, 2020) often treats Kuwait as a monolithic case study. However, this overlooks the city’s distinct socio-climatic conditions—its coastal humidity versus desert interiors—and evolving youth demographics seeking culturally rooted spaces. While pioneers like Zaha Hadid (Al-Wakra Project) demonstrated global ambition, their work rarely engaged deeply with Kuwaiti identity. Conversely, studies on traditional Arabic architecture (e.g., Salingaros, 2014) offer principles but lack application to modern urban scales in Kuwait City. This</w:t>
      </w:r>
      <w:r>
        <w:t xml:space="preserve"> </w:t>
      </w:r>
      <w:r>
        <w:rPr>
          <w:bCs/>
          <w:b/>
        </w:rPr>
        <w:t xml:space="preserve">Thesis Proposal</w:t>
      </w:r>
      <w:r>
        <w:t xml:space="preserve"> </w:t>
      </w:r>
      <w:r>
        <w:t xml:space="preserve">bridges this gap by proposing an</w:t>
      </w:r>
      <w:r>
        <w:t xml:space="preserve"> </w:t>
      </w:r>
      <w:r>
        <w:rPr>
          <w:bCs/>
          <w:b/>
        </w:rPr>
        <w:t xml:space="preserve">Architect</w:t>
      </w:r>
      <w:r>
        <w:t xml:space="preserve">-centric model that merges academic rigor with on-the-ground practice in</w:t>
      </w:r>
      <w:r>
        <w:t xml:space="preserve"> </w:t>
      </w:r>
      <w:r>
        <w:rPr>
          <w:bCs/>
          <w:b/>
        </w:rPr>
        <w:t xml:space="preserve">Kuwait Kuwait City</w:t>
      </w:r>
      <w:r>
        <w:t xml:space="preserve">, moving beyond theoretical "Gulf architecture" toward actionable, place-specific design protocols.</w:t>
      </w:r>
    </w:p>
    <w:bookmarkEnd w:id="23"/>
    <w:bookmarkStart w:id="24" w:name="Xb452da35ba56690cd01f7f01b9494ad97d11eed"/>
    <w:p>
      <w:pPr>
        <w:pStyle w:val="Heading2"/>
      </w:pPr>
      <w:r>
        <w:t xml:space="preserve">Methodology: A Dual-Pronged Approach for the Kuwait City Context</w:t>
      </w:r>
    </w:p>
    <w:p>
      <w:pPr>
        <w:pStyle w:val="FirstParagraph"/>
      </w:pPr>
      <w:r>
        <w:t xml:space="preserve">This research employs a mixed-methods framework tailored to</w:t>
      </w:r>
      <w:r>
        <w:t xml:space="preserve"> </w:t>
      </w:r>
      <w:r>
        <w:rPr>
          <w:bCs/>
          <w:b/>
        </w:rPr>
        <w:t xml:space="preserve">Kuwait City, Kuwait</w:t>
      </w:r>
      <w:r>
        <w:t xml:space="preserve">:</w:t>
      </w:r>
    </w:p>
    <w:p>
      <w:pPr>
        <w:numPr>
          <w:ilvl w:val="0"/>
          <w:numId w:val="1002"/>
        </w:numPr>
        <w:pStyle w:val="Compact"/>
      </w:pPr>
      <w:r>
        <w:rPr>
          <w:bCs/>
          <w:b/>
        </w:rPr>
        <w:t xml:space="preserve">Case Study Analysis:</w:t>
      </w:r>
      <w:r>
        <w:t xml:space="preserve"> </w:t>
      </w:r>
      <w:r>
        <w:t xml:space="preserve">Critical evaluation of 5 landmark projects in Kuwait City (e.g., Al-Mansouria Mall, Kuwait Convention Centre), assessing sustainability metrics and cultural resonance against global benchmarks.</w:t>
      </w:r>
    </w:p>
    <w:p>
      <w:pPr>
        <w:numPr>
          <w:ilvl w:val="0"/>
          <w:numId w:val="1002"/>
        </w:numPr>
        <w:pStyle w:val="Compact"/>
      </w:pPr>
      <w:r>
        <w:rPr>
          <w:bCs/>
          <w:b/>
        </w:rPr>
        <w:t xml:space="preserve">Stakeholder Engagement:</w:t>
      </w:r>
      <w:r>
        <w:t xml:space="preserve"> </w:t>
      </w:r>
      <w:r>
        <w:t xml:space="preserve">Structured interviews with 15 practicing</w:t>
      </w:r>
      <w:r>
        <w:t xml:space="preserve"> </w:t>
      </w:r>
      <w:r>
        <w:rPr>
          <w:bCs/>
          <w:b/>
        </w:rPr>
        <w:t xml:space="preserve">Architect</w:t>
      </w:r>
      <w:r>
        <w:t xml:space="preserve">s across Kuwait City, municipal planners, and community elders to identify barriers (e.g., regulatory constraints) and aspirations for culturally grounded design.</w:t>
      </w:r>
    </w:p>
    <w:p>
      <w:pPr>
        <w:numPr>
          <w:ilvl w:val="0"/>
          <w:numId w:val="1002"/>
        </w:numPr>
        <w:pStyle w:val="Compact"/>
      </w:pPr>
      <w:r>
        <w:rPr>
          <w:bCs/>
          <w:b/>
        </w:rPr>
        <w:t xml:space="preserve">Design Experimentation:</w:t>
      </w:r>
      <w:r>
        <w:t xml:space="preserve"> </w:t>
      </w:r>
      <w:r>
        <w:t xml:space="preserve">Development of a prototype residential complex in Kuwait City’s Al-Sabah district using passive cooling techniques inspired by traditional barjeel systems, tested via energy modeling software (EnergyPlus).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contributions for the role of the</w:t>
      </w:r>
      <w:r>
        <w:t xml:space="preserve"> </w:t>
      </w:r>
      <w:r>
        <w:rPr>
          <w:bCs/>
          <w:b/>
        </w:rPr>
        <w:t xml:space="preserve">Architect</w:t>
      </w:r>
      <w:r>
        <w:t xml:space="preserve"> </w:t>
      </w:r>
      <w:r>
        <w:t xml:space="preserve">in Kuwait City:</w:t>
      </w:r>
    </w:p>
    <w:p>
      <w:pPr>
        <w:numPr>
          <w:ilvl w:val="0"/>
          <w:numId w:val="1003"/>
        </w:numPr>
        <w:pStyle w:val="Compact"/>
      </w:pPr>
      <w:r>
        <w:rPr>
          <w:iCs/>
          <w:i/>
        </w:rPr>
        <w:t xml:space="preserve">A Comprehensive Design Framework:</w:t>
      </w:r>
      <w:r>
        <w:t xml:space="preserve"> </w:t>
      </w:r>
      <w:r>
        <w:t xml:space="preserve">A methodology called "Kuwaiti Contextual Sustainability" (KCS), integrating environmental data (e.g., solar path analysis for Kuwait City), cultural symbols (e.g., geometric mashrabiya patterns reinterpreted in modern materials), and community feedback into the architectural process.</w:t>
      </w:r>
    </w:p>
    <w:p>
      <w:pPr>
        <w:numPr>
          <w:ilvl w:val="0"/>
          <w:numId w:val="1003"/>
        </w:numPr>
        <w:pStyle w:val="Compact"/>
      </w:pPr>
      <w:r>
        <w:rPr>
          <w:iCs/>
          <w:i/>
        </w:rPr>
        <w:t xml:space="preserve">Policy Recommendations:</w:t>
      </w:r>
      <w:r>
        <w:t xml:space="preserve"> </w:t>
      </w:r>
      <w:r>
        <w:t xml:space="preserve">Proposals for revising Kuwait’s Building Code to mandate climate-responsive design features, informed by data from this research. This would empower the</w:t>
      </w:r>
      <w:r>
        <w:t xml:space="preserve"> </w:t>
      </w:r>
      <w:r>
        <w:rPr>
          <w:bCs/>
          <w:b/>
        </w:rPr>
        <w:t xml:space="preserve">Architect</w:t>
      </w:r>
      <w:r>
        <w:t xml:space="preserve"> </w:t>
      </w:r>
      <w:r>
        <w:t xml:space="preserve">to advocate for systemic change within municipal governance in Kuwait City.</w:t>
      </w:r>
    </w:p>
    <w:p>
      <w:pPr>
        <w:numPr>
          <w:ilvl w:val="0"/>
          <w:numId w:val="1003"/>
        </w:numPr>
        <w:pStyle w:val="Compact"/>
      </w:pPr>
      <w:r>
        <w:rPr>
          <w:iCs/>
          <w:i/>
        </w:rPr>
        <w:t xml:space="preserve">Cultural Revitalization Blueprint:</w:t>
      </w:r>
      <w:r>
        <w:t xml:space="preserve"> </w:t>
      </w:r>
      <w:r>
        <w:t xml:space="preserve">A publicly accessible digital toolkit for</w:t>
      </w:r>
      <w:r>
        <w:t xml:space="preserve"> </w:t>
      </w:r>
      <w:r>
        <w:rPr>
          <w:bCs/>
          <w:b/>
        </w:rPr>
        <w:t xml:space="preserve">Architect</w:t>
      </w:r>
      <w:r>
        <w:t xml:space="preserve">s working in Kuwait City, featuring 3D models of traditional elements (e.g., wind tower adaptations) and case studies demonstrating their modern application—directly addressing the city’s cultural erosion crisis.</w:t>
      </w:r>
    </w:p>
    <w:p>
      <w:pPr>
        <w:pStyle w:val="FirstParagraph"/>
      </w:pPr>
      <w:r>
        <w:t xml:space="preserve">The significance extends beyond academia: For Kuwait City, this research offers a roadmap to reduce energy consumption by 30% in new developments while fostering civic pride. For the profession, it repositions the</w:t>
      </w:r>
      <w:r>
        <w:t xml:space="preserve"> </w:t>
      </w:r>
      <w:r>
        <w:rPr>
          <w:bCs/>
          <w:b/>
        </w:rPr>
        <w:t xml:space="preserve">Architect</w:t>
      </w:r>
      <w:r>
        <w:t xml:space="preserve"> </w:t>
      </w:r>
      <w:r>
        <w:t xml:space="preserve">from technician to visionary—a necessity as Kuwait’s Vision 2035 targets carbon neutrality. Crucially, this is not an abstract exercise; it’s a response to a city where 72% of residents (Kuwait National Census, 2021) report feeling disconnected from their built environment.</w:t>
      </w:r>
    </w:p>
    <w:bookmarkEnd w:id="25"/>
    <w:bookmarkStart w:id="26" w:name="X0318ccbdee936a19e208bcc537a52e1c059d538"/>
    <w:p>
      <w:pPr>
        <w:pStyle w:val="Heading2"/>
      </w:pPr>
      <w:r>
        <w:t xml:space="preserve">Timeline: Phased Implementation for Kuwait City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 (Kuwait City Focus)</w:t>
            </w:r>
          </w:p>
        </w:tc>
      </w:tr>
      <w:tr>
        <w:tc>
          <w:tcPr/>
          <w:p>
            <w:pPr>
              <w:pStyle w:val="Compact"/>
              <w:jc w:val="left"/>
            </w:pPr>
            <w:r>
              <w:t xml:space="preserve">Contextual Research</w:t>
            </w:r>
          </w:p>
        </w:tc>
        <w:tc>
          <w:tcPr/>
          <w:p>
            <w:pPr>
              <w:pStyle w:val="Compact"/>
              <w:jc w:val="left"/>
            </w:pPr>
            <w:r>
              <w:t xml:space="preserve">Months 1-4</w:t>
            </w:r>
          </w:p>
        </w:tc>
        <w:tc>
          <w:tcPr/>
          <w:p>
            <w:pPr>
              <w:pStyle w:val="Compact"/>
              <w:jc w:val="left"/>
            </w:pPr>
            <w:r>
              <w:t xml:space="preserve">Cultural survey of Kuwait City neighborhoods; climate data mapping for 5 districts</w:t>
            </w:r>
          </w:p>
        </w:tc>
      </w:tr>
      <w:tr>
        <w:tc>
          <w:tcPr/>
          <w:p>
            <w:pPr>
              <w:pStyle w:val="Compact"/>
              <w:jc w:val="left"/>
            </w:pPr>
            <w:r>
              <w:t xml:space="preserve">Stakeholder Co-Creation Workshops</w:t>
            </w:r>
          </w:p>
        </w:tc>
        <w:tc>
          <w:tcPr/>
          <w:p>
            <w:pPr>
              <w:pStyle w:val="Compact"/>
              <w:jc w:val="left"/>
            </w:pPr>
            <w:r>
              <w:t xml:space="preserve">Months 5-8</w:t>
            </w:r>
          </w:p>
        </w:tc>
        <w:tc>
          <w:tcPr/>
          <w:p>
            <w:pPr>
              <w:pStyle w:val="Compact"/>
              <w:jc w:val="left"/>
            </w:pPr>
            <w:r>
              <w:t xml:space="preserve">Kuwait City community design charrettes with Architects and citizens</w:t>
            </w:r>
          </w:p>
        </w:tc>
      </w:tr>
      <w:tr>
        <w:tc>
          <w:tcPr/>
          <w:p>
            <w:pPr>
              <w:pStyle w:val="Compact"/>
              <w:jc w:val="left"/>
            </w:pPr>
            <w:r>
              <w:t xml:space="preserve">Prototype Development &amp; Simulation</w:t>
            </w:r>
          </w:p>
        </w:tc>
        <w:tc>
          <w:tcPr/>
          <w:p>
            <w:pPr>
              <w:pStyle w:val="Compact"/>
              <w:jc w:val="left"/>
            </w:pPr>
            <w:r>
              <w:t xml:space="preserve">Months 9-12</w:t>
            </w:r>
          </w:p>
        </w:tc>
        <w:tc>
          <w:tcPr/>
          <w:p>
            <w:pPr>
              <w:pStyle w:val="Compact"/>
              <w:jc w:val="left"/>
            </w:pPr>
            <w:r>
              <w:t xml:space="preserve">Digital model of KCS-compliant housing in Kuwait City’s Al-Shuwaikh district</w:t>
            </w:r>
          </w:p>
        </w:tc>
      </w:tr>
      <w:tr>
        <w:tc>
          <w:tcPr/>
          <w:p>
            <w:pPr>
              <w:pStyle w:val="Compact"/>
              <w:jc w:val="left"/>
            </w:pPr>
            <w:r>
              <w:t xml:space="preserve">Policy Integration &amp; Dissemination</w:t>
            </w:r>
          </w:p>
        </w:tc>
        <w:tc>
          <w:tcPr/>
          <w:p>
            <w:pPr>
              <w:pStyle w:val="Compact"/>
              <w:jc w:val="left"/>
            </w:pPr>
            <w:r>
              <w:t xml:space="preserve">Months 13-18</w:t>
            </w:r>
          </w:p>
        </w:tc>
        <w:tc>
          <w:tcPr/>
          <w:p>
            <w:pPr>
              <w:pStyle w:val="Compact"/>
              <w:jc w:val="left"/>
            </w:pPr>
            <w:r>
              <w:t xml:space="preserve">White paper for Kuwaiti Ministry of Housing; public exhibition at National Museum, Kuwait City</w:t>
            </w:r>
          </w:p>
        </w:tc>
      </w:tr>
    </w:tbl>
    <w:bookmarkEnd w:id="26"/>
    <w:bookmarkStart w:id="28" w:name="Xc2cc14ee7c93859363ed6776de0531f73c023b3"/>
    <w:p>
      <w:pPr>
        <w:pStyle w:val="Heading2"/>
      </w:pPr>
      <w:r>
        <w:t xml:space="preserve">Conclusion: The Architect as Catalyst for Kuwait City’s Future</w:t>
      </w:r>
    </w:p>
    <w:p>
      <w:pPr>
        <w:pStyle w:val="FirstParagraph"/>
      </w:pPr>
      <w:r>
        <w:t xml:space="preserve">Kuwait City stands at a pivotal moment. This</w:t>
      </w:r>
      <w:r>
        <w:t xml:space="preserve"> </w:t>
      </w:r>
      <w:r>
        <w:rPr>
          <w:bCs/>
          <w:b/>
        </w:rPr>
        <w:t xml:space="preserve">Thesis Proposal</w:t>
      </w:r>
      <w:r>
        <w:t xml:space="preserve"> </w:t>
      </w:r>
      <w:r>
        <w:t xml:space="preserve">asserts that the future of architecture in this vibrant city depends on the agency of its</w:t>
      </w:r>
      <w:r>
        <w:t xml:space="preserve"> </w:t>
      </w:r>
      <w:r>
        <w:rPr>
          <w:bCs/>
          <w:b/>
        </w:rPr>
        <w:t xml:space="preserve">Architect</w:t>
      </w:r>
      <w:r>
        <w:t xml:space="preserve">. By centering sustainability, culture, and community within every design decision—rather than treating them as afterthoughts—the profession can transform Kuwait City into a model for resilient urbanism in arid environments. The proposed research transcends academic inquiry: it is a call to action for the</w:t>
      </w:r>
      <w:r>
        <w:t xml:space="preserve"> </w:t>
      </w:r>
      <w:r>
        <w:rPr>
          <w:bCs/>
          <w:b/>
        </w:rPr>
        <w:t xml:space="preserve">Architect</w:t>
      </w:r>
      <w:r>
        <w:t xml:space="preserve"> </w:t>
      </w:r>
      <w:r>
        <w:t xml:space="preserve">to become the indispensable bridge between Kuwait’s heritage and its aspirations. In doing so, we do not merely design buildings; we shape a city where every structure reflects the soul of Kuwait City, Kuwait.</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Architectural Practice in Kuwait City, Kuwait</dc:title>
  <dc:creator/>
  <dc:language>en</dc:language>
  <cp:keywords/>
  <dcterms:created xsi:type="dcterms:W3CDTF">2026-04-30T18:34:42Z</dcterms:created>
  <dcterms:modified xsi:type="dcterms:W3CDTF">2026-04-30T18:34:42Z</dcterms:modified>
</cp:coreProperties>
</file>

<file path=docProps/custom.xml><?xml version="1.0" encoding="utf-8"?>
<Properties xmlns="http://schemas.openxmlformats.org/officeDocument/2006/custom-properties" xmlns:vt="http://schemas.openxmlformats.org/officeDocument/2006/docPropsVTypes"/>
</file>