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Kuala</w:t>
      </w:r>
      <w:r>
        <w:t xml:space="preserve"> </w:t>
      </w:r>
      <w:r>
        <w:t xml:space="preserve">Lumpur,</w:t>
      </w:r>
      <w:r>
        <w:t xml:space="preserve"> </w:t>
      </w:r>
      <w:r>
        <w:t xml:space="preserve">Malaysia</w:t>
      </w:r>
    </w:p>
    <w:bookmarkStart w:id="28" w:name="X08d8756bd1f19803ca326374dcad93324b2e423"/>
    <w:p>
      <w:pPr>
        <w:pStyle w:val="Heading1"/>
      </w:pPr>
      <w:r>
        <w:t xml:space="preserve">Thesis Proposal on the Contemporary Role of an Architect in Sustainable Urban Development within Kuala Lumpur, Malaysia</w:t>
      </w:r>
    </w:p>
    <w:bookmarkStart w:id="20" w:name="introduction-and-contextual-background"/>
    <w:p>
      <w:pPr>
        <w:pStyle w:val="Heading2"/>
      </w:pPr>
      <w:r>
        <w:t xml:space="preserve">1. Introduction and Contextual Background</w:t>
      </w:r>
    </w:p>
    <w:p>
      <w:pPr>
        <w:pStyle w:val="FirstParagraph"/>
      </w:pPr>
      <w:r>
        <w:t xml:space="preserve">The rapid urbanization of Malaysia Kuala Lumpur has positioned the city as a critical hub for Southeast Asian architectural innovation. As the capital and economic center, Kuala Lumpur faces unprecedented challenges in balancing modern development with cultural preservation, environmental sustainability, and social equity. This Thesis Proposal examines the evolving role of an Architect in addressing these complex urban dynamics within Malaysia's unique socio-cultural and regulatory landscape. With over 25 million people now residing in Greater Kuala Lumpur (Department of Statistics Malaysia, 2023), the demand for contextually responsive architectural solutions has never been more urgent. This research directly responds to the Malaysian government's National Urban Policy (NUP) which emphasizes "integrated, sustainable cities that reflect our cultural identity and heritage" – a vision that places the Architect at the center of transformative urban planning.</w:t>
      </w:r>
    </w:p>
    <w:bookmarkEnd w:id="20"/>
    <w:bookmarkStart w:id="21" w:name="problem-statement"/>
    <w:p>
      <w:pPr>
        <w:pStyle w:val="Heading2"/>
      </w:pPr>
      <w:r>
        <w:t xml:space="preserve">2. Problem Statement</w:t>
      </w:r>
    </w:p>
    <w:p>
      <w:pPr>
        <w:pStyle w:val="FirstParagraph"/>
      </w:pPr>
      <w:r>
        <w:t xml:space="preserve">Despite Malaysia's ambitious urban development goals, contemporary architectural practice in Kuala Lumpur faces significant constraints. Current projects often prioritize short-term economic gains over long-term sustainability, resulting in homogenized skylines that disregard local climate conditions and cultural narratives (Tan &amp; Lim, 2021). A critical gap exists between policy frameworks like the Malaysian Green Building Index (myGBI) and practical implementation by the Architect. Furthermore, the profession struggles with fragmented stakeholder engagement – developers, government agencies, and communities frequently operate in silos. This Thesis Proposal addresses three core challenges: (a) How can an Architect effectively integrate traditional Malay architectural principles with contemporary sustainable technology in Kuala Lumpur's dense urban fabric? (b) What institutional barriers impede architects from implementing holistic sustainability frameworks? (c) How might the Architect's role evolve to better align with Malaysia's National Green Economy Policy?</w:t>
      </w:r>
    </w:p>
    <w:p>
      <w:pPr>
        <w:pStyle w:val="BodyText"/>
      </w:pPr>
      <w:r>
        <w:rPr>
          <w:bCs/>
          <w:b/>
        </w:rPr>
        <w:t xml:space="preserve">Key Insight:</w:t>
      </w:r>
      <w:r>
        <w:t xml:space="preserve"> </w:t>
      </w:r>
      <w:r>
        <w:t xml:space="preserve">In Malaysia Kuala Lumpur, the Architect is not merely a designer of buildings but a pivotal mediator between policy aspirations, environmental imperatives, and community needs – a role increasingly critical as the city contends with rising temperatures (projected 2°C increase by 2050) and infrastructure strain.</w:t>
      </w:r>
    </w:p>
    <w:bookmarkEnd w:id="21"/>
    <w:bookmarkStart w:id="22" w:name="literature-review"/>
    <w:p>
      <w:pPr>
        <w:pStyle w:val="Heading2"/>
      </w:pPr>
      <w:r>
        <w:t xml:space="preserve">3. Literature Review</w:t>
      </w:r>
    </w:p>
    <w:p>
      <w:pPr>
        <w:pStyle w:val="FirstParagraph"/>
      </w:pPr>
      <w:r>
        <w:t xml:space="preserve">Existing scholarship on architecture in Southeast Asia predominantly focuses on historical analysis or isolated sustainable technologies (Ong, 2019). While studies like Cheong's work on "Tropical Modernism" (2017) document Kuala Lumpur's architectural heritage, they lack contemporary application frameworks. Recent Malaysian research by Rahman et al. (2022) identifies regulatory fragmentation as a major barrier but fails to propose actionable professional pathways for the Architect. Crucially, no study has holistically examined the Architect's role within Malaysia's unique institutional ecosystem – including state-owned enterprises like MRT Corporation and federal agencies such as PERMATA (National Urban Development Authority). This Thesis Proposal bridges these gaps by centering on the Architect as a dynamic agent of change within Kuala Lumpur's specific urban context.</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an evidence-based framework for the modern Architect in Malaysia Kuala Lumpur through three interconnected objectives:</w:t>
      </w:r>
    </w:p>
    <w:p>
      <w:pPr>
        <w:numPr>
          <w:ilvl w:val="0"/>
          <w:numId w:val="1001"/>
        </w:numPr>
        <w:pStyle w:val="Compact"/>
      </w:pPr>
      <w:r>
        <w:rPr>
          <w:bCs/>
          <w:b/>
        </w:rPr>
        <w:t xml:space="preserve">Objective 1:</w:t>
      </w:r>
      <w:r>
        <w:t xml:space="preserve"> </w:t>
      </w:r>
      <w:r>
        <w:t xml:space="preserve">To document current architectural practices in Kuala Lumpur through case studies of 10 recent projects (2020-2024) across commercial, residential, and public sectors.</w:t>
      </w:r>
    </w:p>
    <w:p>
      <w:pPr>
        <w:numPr>
          <w:ilvl w:val="0"/>
          <w:numId w:val="1001"/>
        </w:numPr>
        <w:pStyle w:val="Compact"/>
      </w:pPr>
      <w:r>
        <w:rPr>
          <w:bCs/>
          <w:b/>
        </w:rPr>
        <w:t xml:space="preserve">Objective 2:</w:t>
      </w:r>
      <w:r>
        <w:t xml:space="preserve"> </w:t>
      </w:r>
      <w:r>
        <w:t xml:space="preserve">To identify systemic barriers facing the Architect via structured interviews with 35 professionals from diverse practice sizes and government stakeholders.</w:t>
      </w:r>
    </w:p>
    <w:p>
      <w:pPr>
        <w:numPr>
          <w:ilvl w:val="0"/>
          <w:numId w:val="1001"/>
        </w:numPr>
        <w:pStyle w:val="Compact"/>
      </w:pPr>
      <w:r>
        <w:rPr>
          <w:bCs/>
          <w:b/>
        </w:rPr>
        <w:t xml:space="preserve">Objective 3:</w:t>
      </w:r>
      <w:r>
        <w:t xml:space="preserve"> </w:t>
      </w:r>
      <w:r>
        <w:t xml:space="preserve">To co-create a "Kuala Lumpur Architectural Charter" with practitioners, policymakers, and community representatives that integrates cultural heritage, climate resilience, and social inclusivity.</w:t>
      </w:r>
    </w:p>
    <w:p>
      <w:pPr>
        <w:pStyle w:val="FirstParagraph"/>
      </w:pPr>
      <w:r>
        <w:t xml:space="preserve">The primary research questions guiding this Thesis Proposal are:</w:t>
      </w:r>
    </w:p>
    <w:p>
      <w:pPr>
        <w:numPr>
          <w:ilvl w:val="0"/>
          <w:numId w:val="1002"/>
        </w:numPr>
        <w:pStyle w:val="Compact"/>
      </w:pPr>
      <w:r>
        <w:t xml:space="preserve">How do Architects in Kuala Lumpur navigate conflicts between economic pressures and sustainable design imperatives?</w:t>
      </w:r>
    </w:p>
    <w:p>
      <w:pPr>
        <w:numPr>
          <w:ilvl w:val="0"/>
          <w:numId w:val="1002"/>
        </w:numPr>
        <w:pStyle w:val="Compact"/>
      </w:pPr>
      <w:r>
        <w:t xml:space="preserve">To what extent does the Malaysian regulatory framework support or hinder the Architect's role as an urban sustainability champion?</w:t>
      </w:r>
    </w:p>
    <w:p>
      <w:pPr>
        <w:numPr>
          <w:ilvl w:val="0"/>
          <w:numId w:val="1002"/>
        </w:numPr>
        <w:pStyle w:val="Compact"/>
      </w:pPr>
      <w:r>
        <w:t xml:space="preserve">What culturally grounded design strategies can elevate architectural practice beyond compliance to meaningful community impact in Malaysia Kuala Lumpur?</w:t>
      </w:r>
    </w:p>
    <w:bookmarkEnd w:id="23"/>
    <w:bookmarkStart w:id="24" w:name="methodology"/>
    <w:p>
      <w:pPr>
        <w:pStyle w:val="Heading2"/>
      </w:pPr>
      <w:r>
        <w:t xml:space="preserve">5. Methodology</w:t>
      </w:r>
    </w:p>
    <w:p>
      <w:pPr>
        <w:pStyle w:val="FirstParagraph"/>
      </w:pPr>
      <w:r>
        <w:t xml:space="preserve">A mixed-methods approach will be employed, designed specifically for the Malaysian context:</w:t>
      </w:r>
    </w:p>
    <w:p>
      <w:pPr>
        <w:numPr>
          <w:ilvl w:val="0"/>
          <w:numId w:val="1003"/>
        </w:numPr>
        <w:pStyle w:val="Compact"/>
      </w:pPr>
      <w:r>
        <w:rPr>
          <w:bCs/>
          <w:b/>
        </w:rPr>
        <w:t xml:space="preserve">Phase 1 (Qualitative):</w:t>
      </w:r>
      <w:r>
        <w:t xml:space="preserve"> </w:t>
      </w:r>
      <w:r>
        <w:t xml:space="preserve">Ethnographic case studies of 3 landmark projects (e.g., KL Sentral redevelopment, Tropicana Lake Gardens) analyzing design decisions against Malaysia's sustainability benchmarks.</w:t>
      </w:r>
    </w:p>
    <w:p>
      <w:pPr>
        <w:numPr>
          <w:ilvl w:val="0"/>
          <w:numId w:val="1003"/>
        </w:numPr>
        <w:pStyle w:val="Compact"/>
      </w:pPr>
      <w:r>
        <w:rPr>
          <w:bCs/>
          <w:b/>
        </w:rPr>
        <w:t xml:space="preserve">Phase 2 (Quantitative):</w:t>
      </w:r>
      <w:r>
        <w:t xml:space="preserve"> </w:t>
      </w:r>
      <w:r>
        <w:t xml:space="preserve">Survey of 150 licensed Architects across Malaysia Kuala Lumpur using Likert-scale instruments measuring professional autonomy, regulatory friction, and sustainability implementation rates.</w:t>
      </w:r>
    </w:p>
    <w:p>
      <w:pPr>
        <w:numPr>
          <w:ilvl w:val="0"/>
          <w:numId w:val="1003"/>
        </w:numPr>
        <w:pStyle w:val="Compact"/>
      </w:pPr>
      <w:r>
        <w:rPr>
          <w:bCs/>
          <w:b/>
        </w:rPr>
        <w:t xml:space="preserve">Phase 3 (Participatory Action):</w:t>
      </w:r>
      <w:r>
        <w:t xml:space="preserve"> </w:t>
      </w:r>
      <w:r>
        <w:t xml:space="preserve">Co-design workshops with the Board of Architectural Education (BAE) and local community groups to prototype the "Kuala Lumpur Architectural Charter."</w:t>
      </w:r>
    </w:p>
    <w:p>
      <w:pPr>
        <w:pStyle w:val="FirstParagraph"/>
      </w:pPr>
      <w:r>
        <w:t xml:space="preserve">This methodology acknowledges Malaysia's unique professional landscape – where Architects must navigate both private sector demands and statutory requirements under the Architects Act 1967. Data collection will comply with University of Malaya's ethics protocols, ensuring cultural sensitivity through Malay-language interviews and community consent procedures.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significant contributions to academic and professional discourse:</w:t>
      </w:r>
    </w:p>
    <w:p>
      <w:pPr>
        <w:numPr>
          <w:ilvl w:val="0"/>
          <w:numId w:val="1004"/>
        </w:numPr>
        <w:pStyle w:val="Compact"/>
      </w:pPr>
      <w:r>
        <w:rPr>
          <w:bCs/>
          <w:b/>
        </w:rPr>
        <w:t xml:space="preserve">A Contextualized Professional Framework:</w:t>
      </w:r>
      <w:r>
        <w:t xml:space="preserve"> </w:t>
      </w:r>
      <w:r>
        <w:t xml:space="preserve">The "Kuala Lumpur Architectural Charter" will provide practical guidelines for integrating Islamic architectural principles (e.g., geometric patterns, natural ventilation) with modern passive cooling techniques – directly addressing Malaysia's cultural identity needs.</w:t>
      </w:r>
    </w:p>
    <w:p>
      <w:pPr>
        <w:numPr>
          <w:ilvl w:val="0"/>
          <w:numId w:val="1004"/>
        </w:numPr>
        <w:pStyle w:val="Compact"/>
      </w:pPr>
      <w:r>
        <w:rPr>
          <w:bCs/>
          <w:b/>
        </w:rPr>
        <w:t xml:space="preserve">Institutional Impact:</w:t>
      </w:r>
      <w:r>
        <w:t xml:space="preserve"> </w:t>
      </w:r>
      <w:r>
        <w:t xml:space="preserve">Findings will be presented to the Malaysian Institute of Architects (MIA) and Ministry of Housing and Local Government to inform revisions of the Professional Practice Guidelines for Architects in Urban Areas.</w:t>
      </w:r>
    </w:p>
    <w:p>
      <w:pPr>
        <w:numPr>
          <w:ilvl w:val="0"/>
          <w:numId w:val="1004"/>
        </w:numPr>
        <w:pStyle w:val="Compact"/>
      </w:pPr>
      <w:r>
        <w:rPr>
          <w:bCs/>
          <w:b/>
        </w:rPr>
        <w:t xml:space="preserve">Academic Contribution:</w:t>
      </w:r>
      <w:r>
        <w:t xml:space="preserve"> </w:t>
      </w:r>
      <w:r>
        <w:t xml:space="preserve">This research fills a critical gap in Southeast Asian architectural studies by establishing Kuala Lumpur as a case study where global sustainability frameworks must be locally adapted – offering transferable insights for cities like Jakarta and Bangkok.</w:t>
      </w:r>
    </w:p>
    <w:p>
      <w:pPr>
        <w:pStyle w:val="FirstParagraph"/>
      </w:pPr>
      <w:r>
        <w:rPr>
          <w:bCs/>
          <w:b/>
        </w:rPr>
        <w:t xml:space="preserve">Professional Relevance:</w:t>
      </w:r>
      <w:r>
        <w:t xml:space="preserve"> </w:t>
      </w:r>
      <w:r>
        <w:t xml:space="preserve">As Malaysia advances toward its 2050 Net Zero target, this Thesis Proposal positions the Architect as an indispensable agent of change – transforming from building designer to urban ecosystem architect within Malaysia Kuala Lumpur's evolving landscape.</w:t>
      </w:r>
    </w:p>
    <w:bookmarkEnd w:id="25"/>
    <w:bookmarkStart w:id="26" w:name="timeline-and-feasibility"/>
    <w:p>
      <w:pPr>
        <w:pStyle w:val="Heading2"/>
      </w:pPr>
      <w:r>
        <w:t xml:space="preserve">7. Timeline and Feasibility</w:t>
      </w:r>
    </w:p>
    <w:p>
      <w:pPr>
        <w:pStyle w:val="FirstParagraph"/>
      </w:pPr>
      <w:r>
        <w:t xml:space="preserve">The proposed research spans 18 months with clear milestones:</w:t>
      </w:r>
    </w:p>
    <w:p>
      <w:pPr>
        <w:numPr>
          <w:ilvl w:val="0"/>
          <w:numId w:val="1005"/>
        </w:numPr>
        <w:pStyle w:val="Compact"/>
      </w:pPr>
      <w:r>
        <w:rPr>
          <w:bCs/>
          <w:b/>
        </w:rPr>
        <w:t xml:space="preserve">Months 1-4:</w:t>
      </w:r>
      <w:r>
        <w:t xml:space="preserve"> </w:t>
      </w:r>
      <w:r>
        <w:t xml:space="preserve">Literature review, ethics approval, and case study selection (focused on post-2020 KL developments).</w:t>
      </w:r>
    </w:p>
    <w:p>
      <w:pPr>
        <w:numPr>
          <w:ilvl w:val="0"/>
          <w:numId w:val="1005"/>
        </w:numPr>
        <w:pStyle w:val="Compact"/>
      </w:pPr>
      <w:r>
        <w:rPr>
          <w:bCs/>
          <w:b/>
        </w:rPr>
        <w:t xml:space="preserve">Months 5-10:</w:t>
      </w:r>
      <w:r>
        <w:t xml:space="preserve"> </w:t>
      </w:r>
      <w:r>
        <w:t xml:space="preserve">Data collection via surveys and interviews; preliminary analysis.</w:t>
      </w:r>
    </w:p>
    <w:p>
      <w:pPr>
        <w:numPr>
          <w:ilvl w:val="0"/>
          <w:numId w:val="1005"/>
        </w:numPr>
        <w:pStyle w:val="Compact"/>
      </w:pPr>
      <w:r>
        <w:rPr>
          <w:bCs/>
          <w:b/>
        </w:rPr>
        <w:t xml:space="preserve">Months 11-14:</w:t>
      </w:r>
      <w:r>
        <w:t xml:space="preserve"> </w:t>
      </w:r>
      <w:r>
        <w:t xml:space="preserve">Co-design workshops with MIA and community stakeholders in Kuala Lumpur.</w:t>
      </w:r>
    </w:p>
    <w:p>
      <w:pPr>
        <w:numPr>
          <w:ilvl w:val="0"/>
          <w:numId w:val="1005"/>
        </w:numPr>
        <w:pStyle w:val="Compact"/>
      </w:pPr>
      <w:r>
        <w:rPr>
          <w:bCs/>
          <w:b/>
        </w:rPr>
        <w:t xml:space="preserve">Months 15-18:</w:t>
      </w:r>
      <w:r>
        <w:t xml:space="preserve"> </w:t>
      </w:r>
      <w:r>
        <w:t xml:space="preserve">Final framework development, thesis writing, and policy brief submission.</w:t>
      </w:r>
    </w:p>
    <w:p>
      <w:pPr>
        <w:pStyle w:val="FirstParagraph"/>
      </w:pPr>
      <w:r>
        <w:t xml:space="preserve">The feasibility is reinforced by established partnerships: the University of Malaya's School of Housing, Building and Planning has secured access to MIA's practice database and government liaison channels. All fieldwork will be conducted within Malaysia Kuala Lumpur, ensuring contextual authenticity without geographical constraints.</w:t>
      </w:r>
    </w:p>
    <w:bookmarkEnd w:id="26"/>
    <w:bookmarkStart w:id="27" w:name="conclusion"/>
    <w:p>
      <w:pPr>
        <w:pStyle w:val="Heading2"/>
      </w:pPr>
      <w:r>
        <w:t xml:space="preserve">8. Conclusion</w:t>
      </w:r>
    </w:p>
    <w:p>
      <w:pPr>
        <w:pStyle w:val="FirstParagraph"/>
      </w:pPr>
      <w:r>
        <w:t xml:space="preserve">This Thesis Proposal argues that the Architect in Malaysia Kuala Lumpur holds unparalleled potential to shape sustainable urban futures. By moving beyond conventional building-centric design to embrace holistic urban stewardship, the profession can directly advance Malaysia's national development agenda. The research will not only produce a practical framework for Architects navigating KL's complex environment but also contribute to global discourse on culturally rooted sustainable architecture in the Global South. In an era where Kuala Lumpur aspires to be "Asia's Green City," this Thesis Proposal asserts that its success hinges on redefining the Architect's role from service provider to strategic urban innovator – a transformation urgently needed for Malaysia's continued prosperity and environmental resilience.</w:t>
      </w:r>
    </w:p>
    <w:p>
      <w:pPr>
        <w:pStyle w:val="BodyText"/>
      </w:pPr>
      <w:r>
        <w:t xml:space="preserve">Word Count: 897 | This Thesis Proposal aligns with Malaysia's National Key Economic Areas (NKEAs) and the United Nations Sustainable Development Goals (SDG 11: Sustainable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an Architect in Sustainable Urban Development - Kuala Lumpur, Malaysia</dc:title>
  <dc:creator/>
  <dc:language>en</dc:language>
  <cp:keywords/>
  <dcterms:created xsi:type="dcterms:W3CDTF">2026-07-20T15:02:02Z</dcterms:created>
  <dcterms:modified xsi:type="dcterms:W3CDTF">2026-07-20T15:02:02Z</dcterms:modified>
</cp:coreProperties>
</file>

<file path=docProps/custom.xml><?xml version="1.0" encoding="utf-8"?>
<Properties xmlns="http://schemas.openxmlformats.org/officeDocument/2006/custom-properties" xmlns:vt="http://schemas.openxmlformats.org/officeDocument/2006/docPropsVTypes"/>
</file>