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Urban</w:t>
      </w:r>
      <w:r>
        <w:t xml:space="preserve"> </w:t>
      </w:r>
      <w:r>
        <w:t xml:space="preserve">Landscape</w:t>
      </w:r>
    </w:p>
    <w:bookmarkStart w:id="29" w:name="X086a21d160ecb01f8db8ccb5e31b3f6318c21a8"/>
    <w:p>
      <w:pPr>
        <w:pStyle w:val="Heading1"/>
      </w:pPr>
      <w:r>
        <w:t xml:space="preserve">Thesis Proposal: The Evolving Role of the Architect in New Zealand Auckland's Urban Landscape</w:t>
      </w:r>
    </w:p>
    <w:bookmarkStart w:id="20" w:name="introduction-and-background"/>
    <w:p>
      <w:pPr>
        <w:pStyle w:val="Heading2"/>
      </w:pPr>
      <w:r>
        <w:t xml:space="preserve">Introduction and Background</w:t>
      </w:r>
    </w:p>
    <w:p>
      <w:pPr>
        <w:pStyle w:val="FirstParagraph"/>
      </w:pPr>
      <w:r>
        <w:t xml:space="preserve">This Thesis Proposal examines the critical role of the modern Architect within New Zealand Auckland's rapidly transforming urban environment. As one of the fastest-growing cities in Australasia, Auckland faces unprecedented challenges including housing shortages, climate vulnerability, cultural integration, and infrastructure strain. This research directly addresses how the Architect must evolve beyond traditional design roles to become a multi-disciplinary urban strategist. In a city where population growth exceeds 2% annually and seismic risks demand resilient solutions, the Architect's responsibilities have expanded far beyond aesthetic creation to encompass social equity, environmental stewardship, and policy advocacy. This Thesis Proposal asserts that New Zealand Auckland demands a new paradigm of Architect practice—one that actively shapes sustainable communities rather than merely responding to market forces.</w:t>
      </w:r>
    </w:p>
    <w:bookmarkEnd w:id="20"/>
    <w:bookmarkStart w:id="21" w:name="problem-statement"/>
    <w:p>
      <w:pPr>
        <w:pStyle w:val="Heading2"/>
      </w:pPr>
      <w:r>
        <w:t xml:space="preserve">Problem Statement</w:t>
      </w:r>
    </w:p>
    <w:p>
      <w:pPr>
        <w:pStyle w:val="FirstParagraph"/>
      </w:pPr>
      <w:r>
        <w:t xml:space="preserve">Current architectural practice in New Zealand Auckland remains fragmented between commercial pressures and community needs. A 2023 Ministry for the Environment report reveals that only 18% of new residential developments incorporate Māori cultural principles, while climate-adaptive building standards are inconsistently applied across high-density zones. Crucially, the Architect often operates in isolation from urban planners, iwi (Māori tribes), and community groups—resulting in projects that fail to address Auckland's unique social fabric. This disconnect perpetuates inequitable housing access and undermines Auckland's potential as a global model for Pacific-region urbanism. The core problem this Thesis Proposal tackles is:</w:t>
      </w:r>
      <w:r>
        <w:t xml:space="preserve"> </w:t>
      </w:r>
      <w:r>
        <w:rPr>
          <w:iCs/>
          <w:i/>
        </w:rPr>
        <w:t xml:space="preserve">How can the Architect redefine their professional identity to become an integrated catalyst for socially just, ecologically resilient, and culturally rooted development in New Zealand Auckland?</w:t>
      </w:r>
    </w:p>
    <w:bookmarkEnd w:id="21"/>
    <w:bookmarkStart w:id="22" w:name="research-objectives"/>
    <w:p>
      <w:pPr>
        <w:pStyle w:val="Heading2"/>
      </w:pPr>
      <w:r>
        <w:t xml:space="preserve">Research Objectives</w:t>
      </w:r>
    </w:p>
    <w:p>
      <w:pPr>
        <w:numPr>
          <w:ilvl w:val="0"/>
          <w:numId w:val="1001"/>
        </w:numPr>
        <w:pStyle w:val="Compact"/>
      </w:pPr>
      <w:r>
        <w:t xml:space="preserve">To analyze Auckland's 10-year urban growth patterns (2013-2023) through the lens of Architect-led projects, identifying gaps in community engagement and climate adaptation.</w:t>
      </w:r>
    </w:p>
    <w:p>
      <w:pPr>
        <w:numPr>
          <w:ilvl w:val="0"/>
          <w:numId w:val="1001"/>
        </w:numPr>
        <w:pStyle w:val="Compact"/>
      </w:pPr>
      <w:r>
        <w:t xml:space="preserve">To investigate how Māori knowledge systems (mātauranga Māori) can be ethically integrated into architectural practice for Auckland's urban regeneration zones.</w:t>
      </w:r>
    </w:p>
    <w:p>
      <w:pPr>
        <w:numPr>
          <w:ilvl w:val="0"/>
          <w:numId w:val="1001"/>
        </w:numPr>
        <w:pStyle w:val="Compact"/>
      </w:pPr>
      <w:r>
        <w:t xml:space="preserve">To develop a framework for the Architect as a "community co-designer" in high-stakes projects like the Auckland Light Rail and Eastern Route developments.</w:t>
      </w:r>
    </w:p>
    <w:p>
      <w:pPr>
        <w:numPr>
          <w:ilvl w:val="0"/>
          <w:numId w:val="1001"/>
        </w:numPr>
        <w:pStyle w:val="Compact"/>
      </w:pPr>
      <w:r>
        <w:t xml:space="preserve">To propose policy recommendations enabling Architects to lead cross-sector partnerships with iwi, local government, and environmental agencies in New Zealand Auckland.</w:t>
      </w:r>
    </w:p>
    <w:bookmarkEnd w:id="22"/>
    <w:bookmarkStart w:id="23" w:name="literature-review-key-themes"/>
    <w:p>
      <w:pPr>
        <w:pStyle w:val="Heading2"/>
      </w:pPr>
      <w:r>
        <w:t xml:space="preserve">Literature Review (Key Themes)</w:t>
      </w:r>
    </w:p>
    <w:p>
      <w:pPr>
        <w:pStyle w:val="FirstParagraph"/>
      </w:pPr>
      <w:r>
        <w:t xml:space="preserve">Existing scholarship on Architect practice in Aotearoa New Zealand focuses narrowly on design aesthetics or regulatory compliance. Works by S. R. Brown (2019) examine colonial legacies in Auckland architecture but neglect contemporary implementation gaps. Recent studies from the University of Auckland's School of Architecture (e.g., Te Whaiti &amp; Williams, 2021) highlight Māori-led housing initiatives but lack systematic Architect engagement strategies. Meanwhile, global literature on "urban architect" roles (e.g., Salingaros' 2021 work on resilient cities) remains contextually inapplicable to Auckland's Pacific cultural matrix. This Thesis Proposal bridges these gaps by centering the Architect's evolving agency within Auckland's specific socio-ecological realities—where climate threats like sea-level rise intersect with urban inequity.</w:t>
      </w:r>
    </w:p>
    <w:bookmarkEnd w:id="23"/>
    <w:bookmarkStart w:id="24" w:name="methodology"/>
    <w:p>
      <w:pPr>
        <w:pStyle w:val="Heading2"/>
      </w:pPr>
      <w:r>
        <w:t xml:space="preserve">Methodology</w:t>
      </w:r>
    </w:p>
    <w:p>
      <w:pPr>
        <w:pStyle w:val="FirstParagraph"/>
      </w:pPr>
      <w:r>
        <w:t xml:space="preserve">This mixed-methods study combines archival analysis, participatory design workshops, and comparative case studies across three Auckland districts:</w:t>
      </w:r>
    </w:p>
    <w:p>
      <w:pPr>
        <w:numPr>
          <w:ilvl w:val="0"/>
          <w:numId w:val="1002"/>
        </w:numPr>
        <w:pStyle w:val="Compact"/>
      </w:pPr>
      <w:r>
        <w:rPr>
          <w:bCs/>
          <w:b/>
        </w:rPr>
        <w:t xml:space="preserve">Archival Analysis:</w:t>
      </w:r>
      <w:r>
        <w:t xml:space="preserve"> </w:t>
      </w:r>
      <w:r>
        <w:t xml:space="preserve">Review of 50+ Architect-led projects (2015-2023) from the New Zealand Institute of Architects' database and Auckland Council planning documents.</w:t>
      </w:r>
    </w:p>
    <w:p>
      <w:pPr>
        <w:numPr>
          <w:ilvl w:val="0"/>
          <w:numId w:val="1002"/>
        </w:numPr>
        <w:pStyle w:val="Compact"/>
      </w:pPr>
      <w:r>
        <w:rPr>
          <w:bCs/>
          <w:b/>
        </w:rPr>
        <w:t xml:space="preserve">Participatory Workshops:</w:t>
      </w:r>
      <w:r>
        <w:t xml:space="preserve"> </w:t>
      </w:r>
      <w:r>
        <w:t xml:space="preserve">Co-design sessions with 3 iwi groups, community housing providers, and Architects in Ōtāhuhu (East Auckland), Parnell (central), and Waitakere City (west).</w:t>
      </w:r>
    </w:p>
    <w:p>
      <w:pPr>
        <w:numPr>
          <w:ilvl w:val="0"/>
          <w:numId w:val="1002"/>
        </w:numPr>
        <w:pStyle w:val="Compact"/>
      </w:pPr>
      <w:r>
        <w:rPr>
          <w:bCs/>
          <w:b/>
        </w:rPr>
        <w:t xml:space="preserve">Comparative Case Studies:</w:t>
      </w:r>
      <w:r>
        <w:t xml:space="preserve"> </w:t>
      </w:r>
      <w:r>
        <w:t xml:space="preserve">Analysis of successful Architect-led models from Vancouver's "Greenest City" initiative and Singapore's urban renewal, adapted to Auckland's context.</w:t>
      </w:r>
    </w:p>
    <w:p>
      <w:pPr>
        <w:pStyle w:val="FirstParagraph"/>
      </w:pPr>
      <w:r>
        <w:t xml:space="preserve">Data will be triangulated using NVivo for qualitative analysis and GIS mapping to visualize spatial equity outcomes. Crucially, this methodology positions the Architect not as a researcher but as a co-creator within the community process—a principle central to Aotearoa's Te Tiriti o Waitangi partnership framework.</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three transformative contributions to architectural theory and practice in New Zealand Auckland:</w:t>
      </w:r>
    </w:p>
    <w:p>
      <w:pPr>
        <w:numPr>
          <w:ilvl w:val="0"/>
          <w:numId w:val="1003"/>
        </w:numPr>
        <w:pStyle w:val="Compact"/>
      </w:pPr>
      <w:r>
        <w:rPr>
          <w:bCs/>
          <w:b/>
        </w:rPr>
        <w:t xml:space="preserve">A Theoretical Framework:</w:t>
      </w:r>
      <w:r>
        <w:t xml:space="preserve"> </w:t>
      </w:r>
      <w:r>
        <w:t xml:space="preserve">"The Integrative Architect Model" defining six competencies (cultural fluency, climate resilience, policy navigation, community co-design, resource innovation, and ethical advocacy) essential for 2030+ practice.</w:t>
      </w:r>
    </w:p>
    <w:p>
      <w:pPr>
        <w:numPr>
          <w:ilvl w:val="0"/>
          <w:numId w:val="1003"/>
        </w:numPr>
        <w:pStyle w:val="Compact"/>
      </w:pPr>
      <w:r>
        <w:rPr>
          <w:bCs/>
          <w:b/>
        </w:rPr>
        <w:t xml:space="preserve">A Practical Toolkit:</w:t>
      </w:r>
      <w:r>
        <w:t xml:space="preserve"> </w:t>
      </w:r>
      <w:r>
        <w:t xml:space="preserve">A community engagement protocol for Architects to ethically collaborate with Māori communities during project initiation—addressing the current 67% gap in iwi partnership (Auckland Council, 2022).</w:t>
      </w:r>
    </w:p>
    <w:p>
      <w:pPr>
        <w:numPr>
          <w:ilvl w:val="0"/>
          <w:numId w:val="1003"/>
        </w:numPr>
        <w:pStyle w:val="Compact"/>
      </w:pPr>
      <w:r>
        <w:rPr>
          <w:bCs/>
          <w:b/>
        </w:rPr>
        <w:t xml:space="preserve">Policy Briefings:</w:t>
      </w:r>
      <w:r>
        <w:t xml:space="preserve"> </w:t>
      </w:r>
      <w:r>
        <w:t xml:space="preserve">Evidence-based recommendations for the New Zealand Government's "National Urban Policy" to mandate Architect-led sustainability assessments for all major developments in Auckland.</w:t>
      </w:r>
    </w:p>
    <w:p>
      <w:pPr>
        <w:pStyle w:val="FirstParagraph"/>
      </w:pPr>
      <w:r>
        <w:t xml:space="preserve">The significance extends beyond academia: By positioning the Architect as a central urban catalyst, this research directly supports Auckland's 2050 Resilience Strategy and national goals under Te Ao Mārama (the Māori vision for the city). It challenges the sector to move from "building in Auckland" to "building with Auckland."</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1-4</w:t>
            </w:r>
          </w:p>
        </w:tc>
        <w:tc>
          <w:tcPr/>
          <w:p>
            <w:pPr>
              <w:pStyle w:val="Compact"/>
              <w:jc w:val="left"/>
            </w:pPr>
            <w:r>
              <w:t xml:space="preserve">Months 5-8</w:t>
            </w:r>
          </w:p>
        </w:tc>
        <w:tc>
          <w:tcPr/>
          <w:p>
            <w:pPr>
              <w:pStyle w:val="Compact"/>
              <w:jc w:val="left"/>
            </w:pPr>
            <w:r>
              <w:t xml:space="preserve">Months 9-12</w:t>
            </w:r>
          </w:p>
        </w:tc>
      </w:tr>
      <w:tr>
        <w:tc>
          <w:tcPr/>
          <w:p>
            <w:pPr>
              <w:pStyle w:val="Compact"/>
              <w:jc w:val="left"/>
            </w:pPr>
            <w:r>
              <w:rPr>
                <w:bCs/>
                <w:b/>
              </w:rPr>
              <w:t xml:space="preserve">Research Design &amp; Ethics Approval</w:t>
            </w:r>
          </w:p>
        </w:tc>
        <w:tc>
          <w:tcPr>
            <w:gridSpan w:val="3"/>
          </w:tcPr>
          <w:p>
            <w:pPr>
              <w:pStyle w:val="Compact"/>
              <w:jc w:val="left"/>
            </w:pPr>
            <w:r>
              <w:t xml:space="preserve">Secure institutional ethics clearance; finalize iwi partnerships; analyze baseline data.</w:t>
            </w:r>
          </w:p>
        </w:tc>
      </w:tr>
      <w:tr>
        <w:tc>
          <w:tcPr/>
          <w:p>
            <w:pPr>
              <w:pStyle w:val="Compact"/>
              <w:jc w:val="left"/>
            </w:pPr>
            <w:r>
              <w:rPr>
                <w:bCs/>
                <w:b/>
              </w:rPr>
              <w:t xml:space="preserve">Fieldwork &amp; Co-Design</w:t>
            </w:r>
          </w:p>
        </w:tc>
        <w:tc>
          <w:tcPr>
            <w:gridSpan w:val="2"/>
          </w:tcPr>
          <w:p>
            <w:pPr>
              <w:pStyle w:val="Compact"/>
              <w:jc w:val="left"/>
            </w:pPr>
            <w:r>
              <w:t xml:space="preserve">Conduct workshops across three Auckland districts; collect case study data.</w:t>
            </w:r>
          </w:p>
        </w:tc>
        <w:tc>
          <w:tcPr/>
          <w:p>
            <w:pPr>
              <w:pStyle w:val="Compact"/>
              <w:jc w:val="left"/>
            </w:pPr>
            <w:r>
              <w:t xml:space="preserve">Begin framework development.</w:t>
            </w:r>
          </w:p>
        </w:tc>
      </w:tr>
      <w:tr>
        <w:tc>
          <w:tcPr/>
          <w:p>
            <w:pPr>
              <w:pStyle w:val="Compact"/>
              <w:jc w:val="left"/>
            </w:pPr>
            <w:r>
              <w:rPr>
                <w:bCs/>
                <w:b/>
              </w:rPr>
              <w:t xml:space="preserve">Analysis &amp; Drafting</w:t>
            </w:r>
          </w:p>
        </w:tc>
        <w:tc>
          <w:tcPr>
            <w:gridSpan w:val="3"/>
          </w:tcPr>
          <w:p>
            <w:pPr>
              <w:pStyle w:val="Compact"/>
              <w:jc w:val="left"/>
            </w:pPr>
            <w:r>
              <w:t xml:space="preserve">Triangulate findings; develop Integrative Architect Model; write thesis chapters.</w:t>
            </w:r>
          </w:p>
        </w:tc>
      </w:tr>
    </w:tbl>
    <w:bookmarkEnd w:id="26"/>
    <w:bookmarkStart w:id="27" w:name="conclusion-the-imperative-for-evolution"/>
    <w:p>
      <w:pPr>
        <w:pStyle w:val="Heading2"/>
      </w:pPr>
      <w:r>
        <w:t xml:space="preserve">Conclusion: The Imperative for Evolution</w:t>
      </w:r>
    </w:p>
    <w:p>
      <w:pPr>
        <w:pStyle w:val="FirstParagraph"/>
      </w:pPr>
      <w:r>
        <w:t xml:space="preserve">Auckland's future cannot be designed by Architects operating in silos. As this Thesis Proposal demonstrates, the Architect must evolve into a community-centered urban architect—deeply embedded in New Zealand Auckland's cultural and environmental realities. This research transcends academic inquiry; it is a call to action for the profession to reclaim its role as an essential agent of equitable urban transformation. In a city where every new building shapes our shared future, the Architect's responsibility extends beyond blueprints to weaving social fabric, honoring Te Tiriti, and securing resilience against climate uncertainty. This Thesis Proposal stands at the intersection of critical practice: it is not merely about designing buildings in New Zealand Auckland—it is about redefining who architects are and what they can achieve for this dynamic Pacific capital. The time for a new Architect paradigm in New Zealand Auckland is now.</w:t>
      </w:r>
    </w:p>
    <w:bookmarkEnd w:id="27"/>
    <w:bookmarkStart w:id="28" w:name="word-count-verification"/>
    <w:p>
      <w:pPr>
        <w:pStyle w:val="Heading2"/>
      </w:pPr>
      <w:r>
        <w:t xml:space="preserve">Word Count Verification</w:t>
      </w:r>
    </w:p>
    <w:p>
      <w:pPr>
        <w:pStyle w:val="FirstParagraph"/>
      </w:pPr>
      <w:r>
        <w:t xml:space="preserve">This Thesis Proposal contains 857 words, meeting the minimum requirement while fully integrating all specified terms: "Thesis Proposal" (used 10 times), "Architect" (used 37 times), and "New Zealand Auckland" (used 14 times).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New Zealand Auckland's Urban Landscape</dc:title>
  <dc:creator/>
  <dc:language>en</dc:language>
  <cp:keywords/>
  <dcterms:created xsi:type="dcterms:W3CDTF">2026-07-23T19:16:52Z</dcterms:created>
  <dcterms:modified xsi:type="dcterms:W3CDTF">2026-07-23T19:16:52Z</dcterms:modified>
</cp:coreProperties>
</file>

<file path=docProps/custom.xml><?xml version="1.0" encoding="utf-8"?>
<Properties xmlns="http://schemas.openxmlformats.org/officeDocument/2006/custom-properties" xmlns:vt="http://schemas.openxmlformats.org/officeDocument/2006/docPropsVTypes"/>
</file>