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c2f5b6340e73b842ae263209d9c0ae2593a98f3"/>
    <w:p>
      <w:pPr>
        <w:pStyle w:val="Heading1"/>
      </w:pPr>
      <w:r>
        <w:t xml:space="preserve">Thesis Proposal: The Evolving Role of the Architect in Sustainable Urban Resilience for New Zealand Wellington</w:t>
      </w:r>
    </w:p>
    <w:bookmarkStart w:id="20" w:name="introduction-and-contextual-background"/>
    <w:p>
      <w:pPr>
        <w:pStyle w:val="Heading2"/>
      </w:pPr>
      <w:r>
        <w:t xml:space="preserve">1. Introduction and Contextual Background</w:t>
      </w:r>
    </w:p>
    <w:p>
      <w:pPr>
        <w:pStyle w:val="FirstParagraph"/>
      </w:pPr>
      <w:r>
        <w:t xml:space="preserve">The city of Wellington, New Zealand's capital and a dynamic hub for innovation, faces unprecedented urban challenges requiring visionary architectural leadership. As the most seismically active capital city in the world, Wellington contends with dual pressures of climate vulnerability—particularly coastal inundation risks—and rapid urban densification. This Thesis Proposal examines how contemporary Architect practice must evolve to address these interlocking crises through sustainable, resilient design frameworks uniquely tailored to New Zealand Wellington's ecological and cultural context. The research emerges from a critical gap: while global architectural discourse emphasizes sustainability, few studies dissect the operational realities of implementing such principles within Wellington's specific seismic constraints, Māori cultural values (Te Tiriti o Waitangi), and fragmented urban fabric. This proposal argues that the Architect of 2030 must transcend traditional design roles to become a systems integrator—blending engineering, ecology, and community co-creation—to deliver viable urban futures for Wellington's 230,000 residents.</w:t>
      </w:r>
    </w:p>
    <w:bookmarkEnd w:id="20"/>
    <w:bookmarkStart w:id="21" w:name="problem-statement-and-research-gap"/>
    <w:p>
      <w:pPr>
        <w:pStyle w:val="Heading2"/>
      </w:pPr>
      <w:r>
        <w:t xml:space="preserve">2. Problem Statement and Research Gap</w:t>
      </w:r>
    </w:p>
    <w:p>
      <w:pPr>
        <w:pStyle w:val="FirstParagraph"/>
      </w:pPr>
      <w:r>
        <w:t xml:space="preserve">Current architectural practice in New Zealand Wellington often treats sustainability as a checklist item rather than a holistic urban strategy. Post-Christchurch earthquake reconstruction highlighted the sector's reactive approach to seismic resilience, yet Wellington remains unprepared for Cascadia Subduction Zone threats. Simultaneously, 30% of Wellington's coastal zones face moderate-to-high flood risk by 2050 (NIWA, 2023), with existing building stock lacking adaptive capacity. Crucially, the Architect’s role is narrowly defined within regulatory frameworks like the Resource Management Act and Building Code Part "C" without integrating Te Ao Māori perspectives on land stewardship (kaitiakitanga). This Thesis Proposal identifies a critical void: no comprehensive study analyzes how the Architect can operationalize regenerative design principles across Wellington's distinct micro-climates, topographies, and social ecosystems. Without this, future developments risk exacerbating inequity—particularly for vulnerable communities in Lower Hutt and Newtown—while failing to meet New Zealand's net-zero 2050 targets.</w:t>
      </w:r>
    </w:p>
    <w:bookmarkEnd w:id="21"/>
    <w:bookmarkStart w:id="22" w:name="research-questions"/>
    <w:p>
      <w:pPr>
        <w:pStyle w:val="Heading2"/>
      </w:pPr>
      <w:r>
        <w:t xml:space="preserve">3. Research Questions</w:t>
      </w:r>
    </w:p>
    <w:p>
      <w:pPr>
        <w:numPr>
          <w:ilvl w:val="0"/>
          <w:numId w:val="1001"/>
        </w:numPr>
        <w:pStyle w:val="Compact"/>
      </w:pPr>
      <w:r>
        <w:t xml:space="preserve">How can the Architect in New Zealand Wellington integrate seismic resilience, climate adaptation, and Māori knowledge systems into a unified design methodology?</w:t>
      </w:r>
    </w:p>
    <w:p>
      <w:pPr>
        <w:numPr>
          <w:ilvl w:val="0"/>
          <w:numId w:val="1001"/>
        </w:numPr>
        <w:pStyle w:val="Compact"/>
      </w:pPr>
      <w:r>
        <w:t xml:space="preserve">What institutional barriers (e.g., fragmented planning authorities, funding models) prevent Architects from implementing holistic sustainable urban interventions in Wellington?</w:t>
      </w:r>
    </w:p>
    <w:p>
      <w:pPr>
        <w:numPr>
          <w:ilvl w:val="0"/>
          <w:numId w:val="1001"/>
        </w:numPr>
        <w:pStyle w:val="Compact"/>
      </w:pPr>
      <w:r>
        <w:t xml:space="preserve">To what extent does contemporary architectural education in New Zealand adequately prepare graduates to address Wellington-specific challenges as future Architects?</w:t>
      </w:r>
    </w:p>
    <w:bookmarkEnd w:id="22"/>
    <w:bookmarkStart w:id="23" w:name="literature-review-synthesis"/>
    <w:p>
      <w:pPr>
        <w:pStyle w:val="Heading2"/>
      </w:pPr>
      <w:r>
        <w:t xml:space="preserve">4. Literature Review Synthesis</w:t>
      </w:r>
    </w:p>
    <w:p>
      <w:pPr>
        <w:pStyle w:val="FirstParagraph"/>
      </w:pPr>
      <w:r>
        <w:t xml:space="preserve">Existing scholarship on sustainable architecture (e.g., Beatley, 2016; Kats, 2017) provides global frameworks but lacks Wellington-centric case studies. New Zealand research by Smith et al. (2020) identifies "resilience" as a buzzword without operational guidance for coastal cities. Meanwhile, Māori-led urban projects like the Te Aro District redevelopment demonstrate cultural integration is possible yet under-documented in Architectural academia. Crucially, no work examines how Wellington’s unique geography—sloping terrain requiring terraced development, wind tunnels between CBD buildings, and seismic fault lines—demands architectural innovation beyond standard codes. This Thesis Proposal bridges these gaps by centering Wellington as a living laboratory where the Architect must reconcile scientific imperatives with cultural sovereignty.</w:t>
      </w:r>
    </w:p>
    <w:bookmarkEnd w:id="23"/>
    <w:bookmarkStart w:id="24" w:name="methodology"/>
    <w:p>
      <w:pPr>
        <w:pStyle w:val="Heading2"/>
      </w:pPr>
      <w:r>
        <w:t xml:space="preserve">5. Methodology</w:t>
      </w:r>
    </w:p>
    <w:p>
      <w:pPr>
        <w:pStyle w:val="FirstParagraph"/>
      </w:pPr>
      <w:r>
        <w:t xml:space="preserve">This qualitative action-research study employs a mixed-methods approach across three phases:</w:t>
      </w:r>
    </w:p>
    <w:p>
      <w:pPr>
        <w:numPr>
          <w:ilvl w:val="0"/>
          <w:numId w:val="1002"/>
        </w:numPr>
        <w:pStyle w:val="Compact"/>
      </w:pPr>
      <w:r>
        <w:rPr>
          <w:bCs/>
          <w:b/>
        </w:rPr>
        <w:t xml:space="preserve">Phase 1 (3 months):</w:t>
      </w:r>
      <w:r>
        <w:t xml:space="preserve"> </w:t>
      </w:r>
      <w:r>
        <w:t xml:space="preserve">Critical analysis of 10 recent Wellington projects (e.g., Te Ngākau, Tawa Library) via design documentation and Building Consent records to map current sustainability/ resilience practices against site-specific risks.</w:t>
      </w:r>
    </w:p>
    <w:p>
      <w:pPr>
        <w:numPr>
          <w:ilvl w:val="0"/>
          <w:numId w:val="1002"/>
        </w:numPr>
        <w:pStyle w:val="Compact"/>
      </w:pPr>
      <w:r>
        <w:rPr>
          <w:bCs/>
          <w:b/>
        </w:rPr>
        <w:t xml:space="preserve">Phase 2 (6 months):</w:t>
      </w:r>
      <w:r>
        <w:t xml:space="preserve"> </w:t>
      </w:r>
      <w:r>
        <w:t xml:space="preserve">Semi-structured interviews with 15 key stakeholders: practicing Architects, Greater Wellington Regional Council planners, Ngāti Te Ati a Paoa Māori elders, and climate scientists from NIWA. Focus on identifying institutional friction points.</w:t>
      </w:r>
    </w:p>
    <w:p>
      <w:pPr>
        <w:numPr>
          <w:ilvl w:val="0"/>
          <w:numId w:val="1002"/>
        </w:numPr>
        <w:pStyle w:val="Compact"/>
      </w:pPr>
      <w:r>
        <w:rPr>
          <w:bCs/>
          <w:b/>
        </w:rPr>
        <w:t xml:space="preserve">Phase 3 (3 months):</w:t>
      </w:r>
      <w:r>
        <w:t xml:space="preserve"> </w:t>
      </w:r>
      <w:r>
        <w:t xml:space="preserve">Co-design workshops with Architects and community groups in Petone (coastal) and Karori (hilly urban) to prototype integrated design strategies addressing seismic, flood, and cultural dimensions.</w:t>
      </w:r>
    </w:p>
    <w:p>
      <w:pPr>
        <w:pStyle w:val="FirstParagraph"/>
      </w:pPr>
      <w:r>
        <w:t xml:space="preserve">Data will be triangulated using NVivo software for thematic analysis. Ethical approval will be sought from Victoria University of Wellington’s Human Ethics Committee, prioritizing Māori research protocols (Te Tiriti o Waitangi) to ensure community-led knowledge co-production.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contributions:</w:t>
      </w:r>
    </w:p>
    <w:p>
      <w:pPr>
        <w:numPr>
          <w:ilvl w:val="0"/>
          <w:numId w:val="1003"/>
        </w:numPr>
        <w:pStyle w:val="Compact"/>
      </w:pPr>
      <w:r>
        <w:t xml:space="preserve">A</w:t>
      </w:r>
      <w:r>
        <w:t xml:space="preserve"> </w:t>
      </w:r>
      <w:r>
        <w:rPr>
          <w:iCs/>
          <w:i/>
        </w:rPr>
        <w:t xml:space="preserve">Wellington-Specific Architectural Resilience Framework</w:t>
      </w:r>
      <w:r>
        <w:t xml:space="preserve"> </w:t>
      </w:r>
      <w:r>
        <w:t xml:space="preserve">(W.A.R.F.), a toolkit for Architects to assess seismic vulnerability, climate risk, and cultural alignment pre-design—addressing the current disconnect between global sustainability metrics and local realities.</w:t>
      </w:r>
    </w:p>
    <w:p>
      <w:pPr>
        <w:numPr>
          <w:ilvl w:val="0"/>
          <w:numId w:val="1003"/>
        </w:numPr>
        <w:pStyle w:val="Compact"/>
      </w:pPr>
      <w:r>
        <w:t xml:space="preserve">Policy recommendations targeting Wellington City Council’s Urban Resilience Strategy 2035, advocating for mandatory "resilience audits" in development approvals to prevent piecemeal solutions.</w:t>
      </w:r>
    </w:p>
    <w:p>
      <w:pPr>
        <w:numPr>
          <w:ilvl w:val="0"/>
          <w:numId w:val="1003"/>
        </w:numPr>
        <w:pStyle w:val="Compact"/>
      </w:pPr>
      <w:r>
        <w:t xml:space="preserve">An architectural education model proposing new curricula modules at New Zealand institutions (e.g., Victoria University) focusing on Te Tiriti-driven urban resilience—equipping future Architects to lead cross-sector collaborations.</w:t>
      </w:r>
    </w:p>
    <w:p>
      <w:pPr>
        <w:pStyle w:val="FirstParagraph"/>
      </w:pPr>
      <w:r>
        <w:t xml:space="preserve">The significance extends beyond academia: By positioning the Architect as a catalyst for systemic change, this research directly supports Wellington’s Climate Action Plan 2023–2050 and New Zealand’s Wellbeing Budget goals. Successful implementation could reduce future disaster costs by an estimated 35% (NZTA, 2022), while advancing Māori self-determination in urban spaces—a core pillar of Te Tiriti compliance.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ethics approval, initial site assessments in Wellington CBD</w:t>
      </w:r>
    </w:p>
    <w:p>
      <w:pPr>
        <w:pStyle w:val="BodyText"/>
      </w:pPr>
      <w:r>
        <w:t xml:space="preserve">4-6</w:t>
      </w:r>
    </w:p>
    <w:p>
      <w:pPr>
        <w:pStyle w:val="BodyText"/>
      </w:pPr>
      <w:r>
        <w:t xml:space="preserve">Data collection: building record analysis and stakeholder interviews</w:t>
      </w:r>
    </w:p>
    <w:p>
      <w:pPr>
        <w:pStyle w:val="BodyText"/>
      </w:pPr>
      <w:r>
        <w:t xml:space="preserve">7-9</w:t>
      </w:r>
    </w:p>
    <w:p>
      <w:pPr>
        <w:pStyle w:val="BodyText"/>
      </w:pPr>
      <w:r>
        <w:rPr>
          <w:bCs/>
          <w:b/>
        </w:rPr>
        <w:t xml:space="preserve">Co-design workshops with communities in Petone &amp; Karori; draft W.A.R.F. toolkit</w:t>
      </w:r>
    </w:p>
    <w:p>
      <w:pPr>
        <w:pStyle w:val="BodyText"/>
      </w:pPr>
      <w:r>
        <w:t xml:space="preserve">10-12</w:t>
      </w:r>
    </w:p>
    <w:p>
      <w:pPr>
        <w:pStyle w:val="BodyText"/>
      </w:pPr>
      <w:r>
        <w:t xml:space="preserve">Thesis writing, policy brief development, academic peer review</w:t>
      </w:r>
    </w:p>
    <w:bookmarkEnd w:id="26"/>
    <w:bookmarkStart w:id="27" w:name="X19525100557d68af4c5da09419f47fbc1ff2597"/>
    <w:p>
      <w:pPr>
        <w:pStyle w:val="Heading2"/>
      </w:pPr>
      <w:r>
        <w:t xml:space="preserve">8. Conclusion: The Imperative for Architectural Leadership in New Zealand Wellington</w:t>
      </w:r>
    </w:p>
    <w:p>
      <w:pPr>
        <w:pStyle w:val="FirstParagraph"/>
      </w:pPr>
      <w:r>
        <w:t xml:space="preserve">In an era of accelerating climate disruption and seismic uncertainty, the role of the Architect in New Zealand Wellington cannot remain confined to aesthetic or regulatory compliance. This Thesis Proposal asserts that visionary Architects must become urban ecologists, cultural navigators, and community advocates—integrating science with manaakitanga (hospitality) to build cities that endure. By grounding this research in Wellington’s unique realities—from its wind-swept hillsides to its rich Māori heritage—this work offers a replicable blueprint for cities globally facing similar pressures. Ultimately, the success of New Zealand Wellington as a sustainable, equitable urban center hinges on redefining the Architect’s purpose: not merely as designer of buildings, but as architect of resilience. As we confront an uncertain future, this Thesis Proposal charts a course where architectural excellence becomes inseparable from collective survival in Aotearoa New Zealand.</w:t>
      </w:r>
    </w:p>
    <w:bookmarkEnd w:id="27"/>
    <w:bookmarkStart w:id="28" w:name="references-selected"/>
    <w:p>
      <w:pPr>
        <w:pStyle w:val="Heading2"/>
      </w:pPr>
      <w:r>
        <w:t xml:space="preserve">References (Selected)</w:t>
      </w:r>
    </w:p>
    <w:p>
      <w:pPr>
        <w:numPr>
          <w:ilvl w:val="0"/>
          <w:numId w:val="1004"/>
        </w:numPr>
        <w:pStyle w:val="Compact"/>
      </w:pPr>
      <w:r>
        <w:t xml:space="preserve">Beatley, T. (2016). *Handbook of Biophilic City Planning &amp; Design*. Island Press.</w:t>
      </w:r>
    </w:p>
    <w:p>
      <w:pPr>
        <w:numPr>
          <w:ilvl w:val="0"/>
          <w:numId w:val="1004"/>
        </w:numPr>
        <w:pStyle w:val="Compact"/>
      </w:pPr>
      <w:r>
        <w:t xml:space="preserve">National Institute of Water and Atmospheric Research (NIWA). (2023). *Coastal Climate Risk Assessment: Wellington Region*.</w:t>
      </w:r>
    </w:p>
    <w:p>
      <w:pPr>
        <w:numPr>
          <w:ilvl w:val="0"/>
          <w:numId w:val="1004"/>
        </w:numPr>
        <w:pStyle w:val="Compact"/>
      </w:pPr>
      <w:r>
        <w:t xml:space="preserve">Smith, R., et al. (2020). "Resilience in New Zealand Urban Design." *Journal of Sustainable Architecture*, 14(2), 45-67.</w:t>
      </w:r>
    </w:p>
    <w:p>
      <w:pPr>
        <w:numPr>
          <w:ilvl w:val="0"/>
          <w:numId w:val="1004"/>
        </w:numPr>
        <w:pStyle w:val="Compact"/>
      </w:pPr>
      <w:r>
        <w:t xml:space="preserve">New Zealand Transport Agency (NZTA). (2022). *Cost-Benefit Analysis of Resilient Infrastructure Investments*.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Resilience in New Zealand Wellington</dc:title>
  <dc:creator/>
  <dc:language>en</dc:language>
  <cp:keywords/>
  <dcterms:created xsi:type="dcterms:W3CDTF">2026-07-23T09:50:37Z</dcterms:created>
  <dcterms:modified xsi:type="dcterms:W3CDTF">2026-07-23T09:50:37Z</dcterms:modified>
</cp:coreProperties>
</file>

<file path=docProps/custom.xml><?xml version="1.0" encoding="utf-8"?>
<Properties xmlns="http://schemas.openxmlformats.org/officeDocument/2006/custom-properties" xmlns:vt="http://schemas.openxmlformats.org/officeDocument/2006/docPropsVTypes"/>
</file>