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Identity</w:t>
      </w:r>
      <w:r>
        <w:t xml:space="preserve"> </w:t>
      </w:r>
      <w:r>
        <w:t xml:space="preserve">in</w:t>
      </w:r>
      <w:r>
        <w:t xml:space="preserve"> </w:t>
      </w:r>
      <w:r>
        <w:t xml:space="preserve">Qatar</w:t>
      </w:r>
      <w:r>
        <w:t xml:space="preserve"> </w:t>
      </w:r>
      <w:r>
        <w:t xml:space="preserve">Doha</w:t>
      </w:r>
    </w:p>
    <w:bookmarkStart w:id="29" w:name="X2215630c13c7570c1ab824b3d08f60839377d04"/>
    <w:p>
      <w:pPr>
        <w:pStyle w:val="Heading1"/>
      </w:pPr>
      <w:r>
        <w:t xml:space="preserve">Thesis Proposal: The Role of the Modern Architect in Shaping Sustainable Urban Identity in Qatar Doha</w:t>
      </w:r>
    </w:p>
    <w:bookmarkStart w:id="20" w:name="introduction"/>
    <w:p>
      <w:pPr>
        <w:pStyle w:val="Heading2"/>
      </w:pPr>
      <w:r>
        <w:t xml:space="preserve">Introduction</w:t>
      </w:r>
    </w:p>
    <w:p>
      <w:pPr>
        <w:pStyle w:val="FirstParagraph"/>
      </w:pPr>
      <w:r>
        <w:t xml:space="preserve">The rapid urban transformation of Qatar Doha presents an unparalleled opportunity to redefine the practice of architecture within a global context. As the capital city prepares for its pivotal role as host of major international events and embarks on Vision 2030, the responsibilities of the</w:t>
      </w:r>
      <w:r>
        <w:t xml:space="preserve"> </w:t>
      </w:r>
      <w:r>
        <w:rPr>
          <w:iCs/>
          <w:i/>
        </w:rPr>
        <w:t xml:space="preserve">Architect</w:t>
      </w:r>
      <w:r>
        <w:t xml:space="preserve"> </w:t>
      </w:r>
      <w:r>
        <w:t xml:space="preserve">extend far beyond aesthetic design. This</w:t>
      </w:r>
      <w:r>
        <w:t xml:space="preserve"> </w:t>
      </w:r>
      <w:r>
        <w:rPr>
          <w:iCs/>
          <w:i/>
        </w:rPr>
        <w:t xml:space="preserve">Thesis Proposal</w:t>
      </w:r>
      <w:r>
        <w:t xml:space="preserve"> </w:t>
      </w:r>
      <w:r>
        <w:t xml:space="preserve">investigates how contemporary</w:t>
      </w:r>
      <w:r>
        <w:t xml:space="preserve"> </w:t>
      </w:r>
      <w:r>
        <w:rPr>
          <w:iCs/>
          <w:i/>
        </w:rPr>
        <w:t xml:space="preserve">Architect</w:t>
      </w:r>
      <w:r>
        <w:t xml:space="preserve">s in Qatar Doha navigate cultural preservation, environmental sustainability, and technological innovation to create a distinctive urban identity that honors heritage while embracing modernity. The research addresses a critical gap in scholarly discourse regarding the architect's evolving role within Gulf megaprojects.</w:t>
      </w:r>
    </w:p>
    <w:bookmarkEnd w:id="20"/>
    <w:bookmarkStart w:id="21" w:name="background-and-rationale"/>
    <w:p>
      <w:pPr>
        <w:pStyle w:val="Heading2"/>
      </w:pPr>
      <w:r>
        <w:t xml:space="preserve">Background and Rationale</w:t>
      </w:r>
    </w:p>
    <w:p>
      <w:pPr>
        <w:pStyle w:val="FirstParagraph"/>
      </w:pPr>
      <w:r>
        <w:t xml:space="preserve">Qatar Doha has undergone unprecedented development since the 1990s, evolving from a traditional pearl-diving port into a global hub of architecture, commerce, and culture. Iconic projects like the Museum of Islamic Art, Lusail City, and the Katara Cultural Village exemplify this metamorphosis. However, this growth has sparked debates about architectural homogeneity in Gulf cities and the erosion of local identity. As Qatar accelerates its commitment to sustainability—targeting 30% renewable energy use by 2030—the</w:t>
      </w:r>
      <w:r>
        <w:t xml:space="preserve"> </w:t>
      </w:r>
      <w:r>
        <w:rPr>
          <w:iCs/>
          <w:i/>
        </w:rPr>
        <w:t xml:space="preserve">Architect</w:t>
      </w:r>
      <w:r>
        <w:t xml:space="preserve"> </w:t>
      </w:r>
      <w:r>
        <w:t xml:space="preserve">becomes a pivotal agent for change. This study emerges from the urgent need to document how architects in</w:t>
      </w:r>
      <w:r>
        <w:t xml:space="preserve"> </w:t>
      </w:r>
      <w:r>
        <w:rPr>
          <w:iCs/>
          <w:i/>
        </w:rPr>
        <w:t xml:space="preserve">Qatar Doha</w:t>
      </w:r>
      <w:r>
        <w:t xml:space="preserve"> </w:t>
      </w:r>
      <w:r>
        <w:t xml:space="preserve">are integrating bioclimatic design, cultural narratives, and social equity into their practice, moving beyond superficial "desert modernism" to create meaningful urban environments.</w:t>
      </w:r>
    </w:p>
    <w:bookmarkEnd w:id="21"/>
    <w:bookmarkStart w:id="22" w:name="research-problem-and-questions"/>
    <w:p>
      <w:pPr>
        <w:pStyle w:val="Heading2"/>
      </w:pPr>
      <w:r>
        <w:t xml:space="preserve">Research Problem and Questions</w:t>
      </w:r>
    </w:p>
    <w:p>
      <w:pPr>
        <w:pStyle w:val="FirstParagraph"/>
      </w:pPr>
      <w:r>
        <w:t xml:space="preserve">The central problem is the lack of comprehensive frameworks assessing how architects in Qatar Doha operationalize sustainability and cultural continuity within high-stakes, time-constrained projects. Existing literature often treats Gulf architecture as a monolithic category, overlooking site-specific challenges unique to Doha’s context—such as extreme heat (average 40°C in summer), sandstorms, and the pressure of international deadlines. This</w:t>
      </w:r>
      <w:r>
        <w:t xml:space="preserve"> </w:t>
      </w:r>
      <w:r>
        <w:rPr>
          <w:iCs/>
          <w:i/>
        </w:rPr>
        <w:t xml:space="preserve">Thesis Proposal</w:t>
      </w:r>
      <w:r>
        <w:t xml:space="preserve"> </w:t>
      </w:r>
      <w:r>
        <w:t xml:space="preserve">therefore poses three core questions:</w:t>
      </w:r>
    </w:p>
    <w:p>
      <w:pPr>
        <w:numPr>
          <w:ilvl w:val="0"/>
          <w:numId w:val="1001"/>
        </w:numPr>
        <w:pStyle w:val="Compact"/>
      </w:pPr>
      <w:r>
        <w:t xml:space="preserve">How do architects in Qatar Doha reconcile cultural authenticity with global architectural trends in large-scale projects?</w:t>
      </w:r>
    </w:p>
    <w:p>
      <w:pPr>
        <w:numPr>
          <w:ilvl w:val="0"/>
          <w:numId w:val="1001"/>
        </w:numPr>
        <w:pStyle w:val="Compact"/>
      </w:pPr>
      <w:r>
        <w:t xml:space="preserve">To what extent do sustainability mandates (e.g., Qatari Green Building Standard) shape the creative process of the architect?</w:t>
      </w:r>
    </w:p>
    <w:p>
      <w:pPr>
        <w:numPr>
          <w:ilvl w:val="0"/>
          <w:numId w:val="1001"/>
        </w:numPr>
        <w:pStyle w:val="Compact"/>
      </w:pPr>
      <w:r>
        <w:t xml:space="preserve">What institutional and professional barriers hinder architects from fully embedding social sustainability into Doha’s urban fabric?</w:t>
      </w:r>
    </w:p>
    <w:bookmarkEnd w:id="22"/>
    <w:bookmarkStart w:id="23" w:name="literature-review"/>
    <w:p>
      <w:pPr>
        <w:pStyle w:val="Heading2"/>
      </w:pPr>
      <w:r>
        <w:t xml:space="preserve">Literature Review</w:t>
      </w:r>
    </w:p>
    <w:p>
      <w:pPr>
        <w:pStyle w:val="FirstParagraph"/>
      </w:pPr>
      <w:r>
        <w:t xml:space="preserve">Current scholarship on Middle Eastern architecture, while growing, often focuses on historical precedents (e.g., Kheiralla’s work on Islamic geometry) or economic drivers of development (e.g., Al-Muqarrab’s studies). Recent works by Elsheshtawy and Al-Sayed emphasize the "global-local" tension in Gulf cities but lack granular case studies from Qatar Doha. The concept of "cultural sustainability"—defined as preserving intangible heritage through design—remains underexplored in this context. This research bridges that gap by centering on the</w:t>
      </w:r>
      <w:r>
        <w:t xml:space="preserve"> </w:t>
      </w:r>
      <w:r>
        <w:rPr>
          <w:iCs/>
          <w:i/>
        </w:rPr>
        <w:t xml:space="preserve">Architect</w:t>
      </w:r>
      <w:r>
        <w:t xml:space="preserve"> </w:t>
      </w:r>
      <w:r>
        <w:t xml:space="preserve">as both designer and cultural mediator, drawing on theories from Brand and Giedion while adapting them to Qatar’s specific socio-political landscape.</w:t>
      </w:r>
    </w:p>
    <w:bookmarkEnd w:id="23"/>
    <w:bookmarkStart w:id="24" w:name="methodology"/>
    <w:p>
      <w:pPr>
        <w:pStyle w:val="Heading2"/>
      </w:pPr>
      <w:r>
        <w:t xml:space="preserve">Methodology</w:t>
      </w:r>
    </w:p>
    <w:p>
      <w:pPr>
        <w:pStyle w:val="FirstParagraph"/>
      </w:pPr>
      <w:r>
        <w:t xml:space="preserve">This study employs a mixed-methods approach across three phases:</w:t>
      </w:r>
    </w:p>
    <w:p>
      <w:pPr>
        <w:numPr>
          <w:ilvl w:val="0"/>
          <w:numId w:val="1002"/>
        </w:numPr>
        <w:pStyle w:val="Compact"/>
      </w:pPr>
      <w:r>
        <w:rPr>
          <w:bCs/>
          <w:b/>
        </w:rPr>
        <w:t xml:space="preserve">Archival Analysis</w:t>
      </w:r>
      <w:r>
        <w:t xml:space="preserve">: Documenting 15 key projects in Doha (e.g., Education City, Msheireb Downtown) through architectural plans, environmental impact reports, and cultural consultations.</w:t>
      </w:r>
    </w:p>
    <w:p>
      <w:pPr>
        <w:numPr>
          <w:ilvl w:val="0"/>
          <w:numId w:val="1002"/>
        </w:numPr>
        <w:pStyle w:val="Compact"/>
      </w:pPr>
      <w:r>
        <w:rPr>
          <w:bCs/>
          <w:b/>
        </w:rPr>
        <w:t xml:space="preserve">Stakeholder Interviews</w:t>
      </w:r>
      <w:r>
        <w:t xml:space="preserve">: Conducting semi-structured interviews with 20+ practicing architects (including Qatari nationals and international firms), urban planners, and community representatives to capture on-the-ground challenges.</w:t>
      </w:r>
    </w:p>
    <w:p>
      <w:pPr>
        <w:numPr>
          <w:ilvl w:val="0"/>
          <w:numId w:val="1002"/>
        </w:numPr>
        <w:pStyle w:val="Compact"/>
      </w:pPr>
      <w:r>
        <w:rPr>
          <w:bCs/>
          <w:b/>
        </w:rPr>
        <w:t xml:space="preserve">Comparative Case Studies</w:t>
      </w:r>
      <w:r>
        <w:t xml:space="preserve">: Analyzing two contrasting projects—</w:t>
      </w:r>
      <w:r>
        <w:rPr>
          <w:iCs/>
          <w:i/>
        </w:rPr>
        <w:t xml:space="preserve">one</w:t>
      </w:r>
      <w:r>
        <w:t xml:space="preserve"> </w:t>
      </w:r>
      <w:r>
        <w:t xml:space="preserve">prioritizing cultural continuity (e.g., Souq Waqif renovation) and</w:t>
      </w:r>
      <w:r>
        <w:t xml:space="preserve"> </w:t>
      </w:r>
      <w:r>
        <w:rPr>
          <w:iCs/>
          <w:i/>
        </w:rPr>
        <w:t xml:space="preserve">another</w:t>
      </w:r>
      <w:r>
        <w:t xml:space="preserve"> </w:t>
      </w:r>
      <w:r>
        <w:t xml:space="preserve">emphasizing technological innovation (e.g., Lusail Stadium)—to identify best practices.</w:t>
      </w:r>
    </w:p>
    <w:p>
      <w:pPr>
        <w:pStyle w:val="FirstParagraph"/>
      </w:pPr>
      <w:r>
        <w:t xml:space="preserve">Data will be triangulated using NVivo for qualitative coding, with ethical approval secured from Qatar University’s Institutional Review Board. The research adheres to Qatari cultural protocols, ensuring all participants are briefed on the project’s alignment with national vision.</w:t>
      </w:r>
    </w:p>
    <w:bookmarkEnd w:id="24"/>
    <w:bookmarkStart w:id="25" w:name="expected-contributions"/>
    <w:p>
      <w:pPr>
        <w:pStyle w:val="Heading2"/>
      </w:pPr>
      <w:r>
        <w:t xml:space="preserve">Expected Contributions</w:t>
      </w:r>
    </w:p>
    <w:p>
      <w:pPr>
        <w:pStyle w:val="FirstParagraph"/>
      </w:pPr>
      <w:r>
        <w:t xml:space="preserve">This</w:t>
      </w:r>
      <w:r>
        <w:t xml:space="preserve"> </w:t>
      </w:r>
      <w:r>
        <w:rPr>
          <w:iCs/>
          <w:i/>
        </w:rPr>
        <w:t xml:space="preserve">Thesis Proposal</w:t>
      </w:r>
      <w:r>
        <w:t xml:space="preserve"> </w:t>
      </w:r>
      <w:r>
        <w:t xml:space="preserve">promises significant contributions across academic, professional, and policy domains:</w:t>
      </w:r>
    </w:p>
    <w:p>
      <w:pPr>
        <w:numPr>
          <w:ilvl w:val="0"/>
          <w:numId w:val="1003"/>
        </w:numPr>
        <w:pStyle w:val="Compact"/>
      </w:pPr>
      <w:r>
        <w:rPr>
          <w:bCs/>
          <w:b/>
        </w:rPr>
        <w:t xml:space="preserve">Theoretical</w:t>
      </w:r>
      <w:r>
        <w:t xml:space="preserve">: Developing a "Qatar Doha Architectural Framework" that integrates cultural sustainability with bioclimatic design—filling a void in global architecture literature.</w:t>
      </w:r>
    </w:p>
    <w:p>
      <w:pPr>
        <w:numPr>
          <w:ilvl w:val="0"/>
          <w:numId w:val="1003"/>
        </w:numPr>
        <w:pStyle w:val="Compact"/>
      </w:pPr>
      <w:r>
        <w:rPr>
          <w:bCs/>
          <w:b/>
        </w:rPr>
        <w:t xml:space="preserve">Professional Practice</w:t>
      </w:r>
      <w:r>
        <w:t xml:space="preserve">: Creating an actionable toolkit for architects navigating Qatar’s unique regulatory environment, including guidelines for community engagement during high-pressure project cycles.</w:t>
      </w:r>
    </w:p>
    <w:p>
      <w:pPr>
        <w:numPr>
          <w:ilvl w:val="0"/>
          <w:numId w:val="1003"/>
        </w:numPr>
        <w:pStyle w:val="Compact"/>
      </w:pPr>
      <w:r>
        <w:rPr>
          <w:bCs/>
          <w:b/>
        </w:rPr>
        <w:t xml:space="preserve">Policy Impact</w:t>
      </w:r>
      <w:r>
        <w:t xml:space="preserve">: Informing Qatar’s Ministry of Municipality and Environment on how to refine sustainability standards to better support cultural preservation (e.g., incentivizing local craftsmanship in green building certifications).</w:t>
      </w:r>
    </w:p>
    <w:bookmarkEnd w:id="25"/>
    <w:bookmarkStart w:id="26" w:name="X35652c7207e842d33e38693e123d9dc6609924b"/>
    <w:p>
      <w:pPr>
        <w:pStyle w:val="Heading2"/>
      </w:pPr>
      <w:r>
        <w:t xml:space="preserve">Significance in the Context of Qatar Doha</w:t>
      </w:r>
    </w:p>
    <w:p>
      <w:pPr>
        <w:pStyle w:val="FirstParagraph"/>
      </w:pPr>
      <w:r>
        <w:t xml:space="preserve">As Qatar positions itself as a leader in sustainable urban development, this research directly supports national priorities. The architect’s role is no longer merely about constructing buildings but shaping a city that reflects Qatari identity while contributing to global climate solutions. In Doha—a city where 70% of the population comprises expatriates—the</w:t>
      </w:r>
      <w:r>
        <w:t xml:space="preserve"> </w:t>
      </w:r>
      <w:r>
        <w:rPr>
          <w:iCs/>
          <w:i/>
        </w:rPr>
        <w:t xml:space="preserve">Architect</w:t>
      </w:r>
      <w:r>
        <w:t xml:space="preserve"> </w:t>
      </w:r>
      <w:r>
        <w:t xml:space="preserve">holds the key to designing inclusive spaces that bridge cultural divides. This study’s findings will resonate beyond Qatar, offering lessons for other Gulf states facing similar urbanization pressures. For instance, insights into managing sandstorm-resistant facades or integrating traditional wind towers (</w:t>
      </w:r>
      <w:r>
        <w:rPr>
          <w:iCs/>
          <w:i/>
        </w:rPr>
        <w:t xml:space="preserve">barjeel</w:t>
      </w:r>
      <w:r>
        <w:t xml:space="preserve">) into modern infrastructure could transform regional architectural practices.</w:t>
      </w:r>
    </w:p>
    <w:bookmarkEnd w:id="26"/>
    <w:bookmarkStart w:id="27" w:name="timeline-and-feasibility"/>
    <w:p>
      <w:pPr>
        <w:pStyle w:val="Heading2"/>
      </w:pPr>
      <w:r>
        <w:t xml:space="preserve">Timeline and Feasibility</w:t>
      </w:r>
    </w:p>
    <w:p>
      <w:pPr>
        <w:pStyle w:val="FirstParagraph"/>
      </w:pPr>
      <w:r>
        <w:t xml:space="preserve">The research will be completed within 18 months, leveraging Qatar’s academic partnerships. Phase 1 (literature review/data collection) aligns with Qatar University’s academic calendar. Access to project sites is secured through preliminary agreements with the Supreme Committee for Delivery &amp; Legacy and the Qatari National Commission for Museums. The architect-focused approach ensures relevance to industry needs, as evidenced by interest from the Qatari Society of Engineers.</w:t>
      </w:r>
    </w:p>
    <w:bookmarkEnd w:id="27"/>
    <w:bookmarkStart w:id="28" w:name="conclusion"/>
    <w:p>
      <w:pPr>
        <w:pStyle w:val="Heading2"/>
      </w:pPr>
      <w:r>
        <w:t xml:space="preserve">Conclusion</w:t>
      </w:r>
    </w:p>
    <w:p>
      <w:pPr>
        <w:pStyle w:val="FirstParagraph"/>
      </w:pPr>
      <w:r>
        <w:t xml:space="preserve">The future of Qatar Doha hinges on architects who can balance ambition with authenticity, innovation with tradition. This</w:t>
      </w:r>
      <w:r>
        <w:t xml:space="preserve"> </w:t>
      </w:r>
      <w:r>
        <w:rPr>
          <w:iCs/>
          <w:i/>
        </w:rPr>
        <w:t xml:space="preserve">Thesis Proposal</w:t>
      </w:r>
      <w:r>
        <w:t xml:space="preserve"> </w:t>
      </w:r>
      <w:r>
        <w:t xml:space="preserve">asserts that the modern architect in Qatar Doha is not just a designer but a cultural steward and sustainability pioneer. By rigorously examining how these professionals navigate complex demands—from desert heat to heritage preservation—the research will deliver actionable knowledge to elevate architectural practice in one of the world’s most dynamic urban landscapes. Ultimately, this work seeks to redefine what it means to be an</w:t>
      </w:r>
      <w:r>
        <w:t xml:space="preserve"> </w:t>
      </w:r>
      <w:r>
        <w:rPr>
          <w:iCs/>
          <w:i/>
        </w:rPr>
        <w:t xml:space="preserve">Architect</w:t>
      </w:r>
      <w:r>
        <w:t xml:space="preserve"> </w:t>
      </w:r>
      <w:r>
        <w:t xml:space="preserve">in a city that embodies the future while honoring its past, making it a vital contribution not only to academia but to Doha’s enduring legacy.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Architect in Shaping Sustainable Urban Identity in Qatar Doha</dc:title>
  <dc:creator/>
  <dc:language>en</dc:language>
  <cp:keywords/>
  <dcterms:created xsi:type="dcterms:W3CDTF">2026-07-11T18:44:18Z</dcterms:created>
  <dcterms:modified xsi:type="dcterms:W3CDTF">2026-07-11T18:44:18Z</dcterms:modified>
</cp:coreProperties>
</file>

<file path=docProps/custom.xml><?xml version="1.0" encoding="utf-8"?>
<Properties xmlns="http://schemas.openxmlformats.org/officeDocument/2006/custom-properties" xmlns:vt="http://schemas.openxmlformats.org/officeDocument/2006/docPropsVTypes"/>
</file>