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Singapore</w:t>
      </w:r>
      <w:r>
        <w:t xml:space="preserve"> </w:t>
      </w:r>
      <w:r>
        <w:t xml:space="preserve">Singapore</w:t>
      </w:r>
    </w:p>
    <w:bookmarkStart w:id="28" w:name="X615986fdfd381db732d818e36752950282d5d53"/>
    <w:p>
      <w:pPr>
        <w:pStyle w:val="Heading1"/>
      </w:pPr>
      <w:r>
        <w:t xml:space="preserve">Thesis Proposal: The Evolving Role of the Architect in Singapore Singapore</w:t>
      </w:r>
    </w:p>
    <w:bookmarkStart w:id="20" w:name="introduction"/>
    <w:p>
      <w:pPr>
        <w:pStyle w:val="Heading2"/>
      </w:pPr>
      <w:r>
        <w:t xml:space="preserve">1. Introduction</w:t>
      </w:r>
    </w:p>
    <w:p>
      <w:pPr>
        <w:pStyle w:val="FirstParagraph"/>
      </w:pPr>
      <w:r>
        <w:t xml:space="preserve">This Thesis Proposal examines the critical and multifaceted role of the Architect within the unique urban ecosystem of Singapore, Singapore. As one of Asia's most dynamic metropolises, Singapore presents an unparalleled case study for architectural practice due to its relentless urbanization, stringent regulatory framework, and commitment to sustainable development. The Architect in this context transcends traditional design roles to become a pivotal agent in shaping national identity, environmental resilience, and social cohesion. This research directly addresses the pressing need to redefine the Architect's professional trajectory within Singapore Singapore's distinctive socio-political landscape—a landscape where every building project intersects with nation-building imperatives. The Thesis Proposal argues that contemporary Architect practice must evolve beyond aesthetic innovation to encompass policy advocacy, community engagement, and climate-responsive systems thinking in the context of Singapore Singapore.</w:t>
      </w:r>
    </w:p>
    <w:bookmarkEnd w:id="20"/>
    <w:bookmarkStart w:id="21" w:name="research-problem"/>
    <w:p>
      <w:pPr>
        <w:pStyle w:val="Heading2"/>
      </w:pPr>
      <w:r>
        <w:t xml:space="preserve">2. Research Problem</w:t>
      </w:r>
    </w:p>
    <w:p>
      <w:pPr>
        <w:pStyle w:val="FirstParagraph"/>
      </w:pPr>
      <w:r>
        <w:t xml:space="preserve">Despite Singapore's global acclaim for urban excellence, a significant gap exists in scholarly understanding of how the Architect navigates the complex interplay between government-driven development policies (e.g., URA Master Plan), sustainability mandates (e.g., BCA Green Mark Scheme), and rapidly shifting societal needs. Current architectural discourse often treats the Architect as a passive implementer of state vision rather than an active co-creator of Singapore's urban future. This Thesis Proposal identifies three critical tensions: First, the tension between heritage conservation and modernization in a city-state where 10% of land is designated for conservation. Second, the pressure on the Architect to balance economic viability with carbon-neutral targets (Singapore's 2050 net-zero goal). Third, the challenge of engaging diverse communities in an ethnically heterogeneous society where housing density creates unique social dynamics. These tensions necessitate a reimagined Architect role—one that actively shapes Singapore Singapore's urban narrative rather than merely executing it.</w:t>
      </w:r>
    </w:p>
    <w:bookmarkEnd w:id="21"/>
    <w:bookmarkStart w:id="22" w:name="literature-review-selected"/>
    <w:p>
      <w:pPr>
        <w:pStyle w:val="Heading2"/>
      </w:pPr>
      <w:r>
        <w:t xml:space="preserve">3. Literature Review (Selected)</w:t>
      </w:r>
    </w:p>
    <w:p>
      <w:pPr>
        <w:pStyle w:val="FirstParagraph"/>
      </w:pPr>
      <w:r>
        <w:t xml:space="preserve">Existing scholarship on Singaporean architecture (e.g., Ching, 2018; Cheong, 2020) primarily focuses on iconic projects like Marina Bay Sands or the Singapore Botanic Gardens. However, these studies overlook the day-to-day realities of the Architect operating within statutory bodies like HDB and URA. Theoretical frameworks such as "Critical Regionalism" (Tzonis &amp; Lefaivre, 1986) are inadequately applied to Singapore's context where regional identity is actively engineered by policy. Recent works on "Architect as Urban Strategist" (Sternberg, 2022) provide conceptual tools but lack empirical grounding in Southeast Asian urban governance. Crucially, no comprehensive study examines how the Architect negotiates Singapore Singapore's dual identity as both a global financial hub and a culturally conscious nation-state—a tension central to this Thesis Proposal.</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map the evolving professional competencies required of the Architect in Singapore Singapore by 2030.</w:t>
      </w:r>
    </w:p>
    <w:p>
      <w:pPr>
        <w:numPr>
          <w:ilvl w:val="0"/>
          <w:numId w:val="1001"/>
        </w:numPr>
        <w:pStyle w:val="Compact"/>
      </w:pPr>
      <w:r>
        <w:t xml:space="preserve">To analyze how government policies (e.g., Green Building Masterplan) reshape Architect-led design processes.</w:t>
      </w:r>
    </w:p>
    <w:p>
      <w:pPr>
        <w:numPr>
          <w:ilvl w:val="0"/>
          <w:numId w:val="1001"/>
        </w:numPr>
        <w:pStyle w:val="Compact"/>
      </w:pPr>
      <w:r>
        <w:t xml:space="preserve">To investigate community co-design mechanisms that empower residents in high-density housing projects across Singapore Singapore.</w:t>
      </w:r>
    </w:p>
    <w:p>
      <w:pPr>
        <w:pStyle w:val="FirstParagraph"/>
      </w:pPr>
      <w:r>
        <w:rPr>
          <w:bCs/>
          <w:b/>
        </w:rPr>
        <w:t xml:space="preserve">Key Research Questions:</w:t>
      </w:r>
    </w:p>
    <w:p>
      <w:pPr>
        <w:numPr>
          <w:ilvl w:val="0"/>
          <w:numId w:val="1002"/>
        </w:numPr>
        <w:pStyle w:val="Compact"/>
      </w:pPr>
      <w:r>
        <w:t xml:space="preserve">How does the Architect balance regulatory compliance with innovative sustainability solutions within Singapore Singapore's constrained physical and policy environment?</w:t>
      </w:r>
    </w:p>
    <w:p>
      <w:pPr>
        <w:numPr>
          <w:ilvl w:val="0"/>
          <w:numId w:val="1002"/>
        </w:numPr>
        <w:pStyle w:val="Compact"/>
      </w:pPr>
      <w:r>
        <w:t xml:space="preserve">In what ways can the Architect transition from a "designer of spaces" to a "facilitator of urban ecosystems" in Singapore Singapore?</w:t>
      </w:r>
    </w:p>
    <w:p>
      <w:pPr>
        <w:numPr>
          <w:ilvl w:val="0"/>
          <w:numId w:val="1002"/>
        </w:numPr>
        <w:pStyle w:val="Compact"/>
      </w:pPr>
      <w:r>
        <w:t xml:space="preserve">What institutional barriers prevent Architects from fully integrating social equity into projects across diverse neighborhoods like Tampines or Geylang in Singapore Singapore?</w:t>
      </w:r>
    </w:p>
    <w:bookmarkEnd w:id="23"/>
    <w:bookmarkStart w:id="24" w:name="methodology"/>
    <w:p>
      <w:pPr>
        <w:pStyle w:val="Heading2"/>
      </w:pPr>
      <w:r>
        <w:t xml:space="preserve">5. Methodology</w:t>
      </w:r>
    </w:p>
    <w:p>
      <w:pPr>
        <w:pStyle w:val="FirstParagraph"/>
      </w:pPr>
      <w:r>
        <w:t xml:space="preserve">This mixed-methods Thesis Proposal employs three interconnected approaches:</w:t>
      </w:r>
    </w:p>
    <w:p>
      <w:pPr>
        <w:numPr>
          <w:ilvl w:val="0"/>
          <w:numId w:val="1003"/>
        </w:numPr>
        <w:pStyle w:val="Compact"/>
      </w:pPr>
      <w:r>
        <w:rPr>
          <w:bCs/>
          <w:b/>
        </w:rPr>
        <w:t xml:space="preserve">Case Study Analysis (4 projects):</w:t>
      </w:r>
      <w:r>
        <w:t xml:space="preserve"> </w:t>
      </w:r>
      <w:r>
        <w:t xml:space="preserve">Deep-dive examination of recent Architect-led initiatives including the Punggol Waterway Terraces (sustainability integration) and Tengah New Town (community co-design pilot). This compares design documentation, stakeholder interviews, and post-occupancy evaluations.</w:t>
      </w:r>
    </w:p>
    <w:p>
      <w:pPr>
        <w:numPr>
          <w:ilvl w:val="0"/>
          <w:numId w:val="1003"/>
        </w:numPr>
        <w:pStyle w:val="Compact"/>
      </w:pPr>
      <w:r>
        <w:rPr>
          <w:bCs/>
          <w:b/>
        </w:rPr>
        <w:t xml:space="preserve">Architect Professional Survey:</w:t>
      </w:r>
      <w:r>
        <w:t xml:space="preserve"> </w:t>
      </w:r>
      <w:r>
        <w:t xml:space="preserve">Structured interviews with 30 licensed Architects across practice sizes (from sole practitioners to global firms like WOHA) in Singapore Singapore. Questions explore ethical dilemmas, policy navigation challenges, and visions for the future role.</w:t>
      </w:r>
    </w:p>
    <w:p>
      <w:pPr>
        <w:numPr>
          <w:ilvl w:val="0"/>
          <w:numId w:val="1003"/>
        </w:numPr>
        <w:pStyle w:val="Compact"/>
      </w:pPr>
      <w:r>
        <w:rPr>
          <w:bCs/>
          <w:b/>
        </w:rPr>
        <w:t xml:space="preserve">Policy Mapping Exercise:</w:t>
      </w:r>
      <w:r>
        <w:t xml:space="preserve"> </w:t>
      </w:r>
      <w:r>
        <w:t xml:space="preserve">Systematic analysis of 20+ national development documents (e.g., Singapore Green Plan 2030, HDB Design Manual) to identify gaps between policy intent and Architect implementation.</w:t>
      </w:r>
    </w:p>
    <w:p>
      <w:pPr>
        <w:pStyle w:val="FirstParagraph"/>
      </w:pPr>
      <w:r>
        <w:t xml:space="preserve">Data triangulation will be prioritized, with all qualitative findings cross-referenced against quantitative metrics like energy performance data and community satisfaction indices. The research is ethically approved by NUS’ Institutional Review Board, with all participant anonymity guaranteed.</w:t>
      </w:r>
    </w:p>
    <w:bookmarkEnd w:id="24"/>
    <w:bookmarkStart w:id="25" w:name="significance-of-the-study"/>
    <w:p>
      <w:pPr>
        <w:pStyle w:val="Heading2"/>
      </w:pPr>
      <w:r>
        <w:t xml:space="preserve">6. Significance of the Study</w:t>
      </w:r>
    </w:p>
    <w:p>
      <w:pPr>
        <w:pStyle w:val="FirstParagraph"/>
      </w:pPr>
      <w:r>
        <w:t xml:space="preserve">This Thesis Proposal delivers transformative value for multiple stakeholders:</w:t>
      </w:r>
    </w:p>
    <w:p>
      <w:pPr>
        <w:numPr>
          <w:ilvl w:val="0"/>
          <w:numId w:val="1004"/>
        </w:numPr>
        <w:pStyle w:val="Compact"/>
      </w:pPr>
      <w:r>
        <w:rPr>
          <w:bCs/>
          <w:b/>
        </w:rPr>
        <w:t xml:space="preserve">For the Architect Profession:</w:t>
      </w:r>
      <w:r>
        <w:t xml:space="preserve"> </w:t>
      </w:r>
      <w:r>
        <w:t xml:space="preserve">It establishes a forward-looking competency framework—moving beyond technical skills to include urban policy literacy, climate emergency response, and cross-cultural facilitation. This directly addresses Singapore's SkillsFuture initiative for architects.</w:t>
      </w:r>
    </w:p>
    <w:p>
      <w:pPr>
        <w:numPr>
          <w:ilvl w:val="0"/>
          <w:numId w:val="1004"/>
        </w:numPr>
        <w:pStyle w:val="Compact"/>
      </w:pPr>
      <w:r>
        <w:rPr>
          <w:bCs/>
          <w:b/>
        </w:rPr>
        <w:t xml:space="preserve">For Singapore Governance:</w:t>
      </w:r>
      <w:r>
        <w:t xml:space="preserve"> </w:t>
      </w:r>
      <w:r>
        <w:t xml:space="preserve">Findings will inform URA’s next Master Plan revisions and BCA’s sustainability standards by highlighting ground-level implementation barriers. The Thesis Proposal positions the Architect as a strategic partner in national goals, not just a service provider.</w:t>
      </w:r>
    </w:p>
    <w:p>
      <w:pPr>
        <w:numPr>
          <w:ilvl w:val="0"/>
          <w:numId w:val="1004"/>
        </w:numPr>
        <w:pStyle w:val="Compact"/>
      </w:pPr>
      <w:r>
        <w:rPr>
          <w:bCs/>
          <w:b/>
        </w:rPr>
        <w:t xml:space="preserve">For Global Urban Practice:</w:t>
      </w:r>
      <w:r>
        <w:t xml:space="preserve"> </w:t>
      </w:r>
      <w:r>
        <w:t xml:space="preserve">Singapore Singapore serves as a microcosm for megacities facing similar density/sustainability pressures. Insights on community-driven design in high-rise contexts will benefit cities like Hong Kong and Tokyo.</w:t>
      </w:r>
    </w:p>
    <w:bookmarkEnd w:id="25"/>
    <w:bookmarkStart w:id="26" w:name="expected-outcomes-and-timeline"/>
    <w:p>
      <w:pPr>
        <w:pStyle w:val="Heading2"/>
      </w:pPr>
      <w:r>
        <w:t xml:space="preserve">7. Expected Outcomes and Timeline</w:t>
      </w:r>
    </w:p>
    <w:p>
      <w:pPr>
        <w:pStyle w:val="FirstParagraph"/>
      </w:pPr>
      <w:r>
        <w:t xml:space="preserve">The Thesis Proposal anticipates three key deliverables by Year 3:</w:t>
      </w:r>
    </w:p>
    <w:p>
      <w:pPr>
        <w:numPr>
          <w:ilvl w:val="0"/>
          <w:numId w:val="1005"/>
        </w:numPr>
        <w:pStyle w:val="Compact"/>
      </w:pPr>
      <w:r>
        <w:t xml:space="preserve">A validated "Architect Competency Matrix" for Singapore Singapore, categorizing skills into immediate (e.g., BIM proficiency), emerging (e.g., circular economy design), and future-focused (e.g., AI-assisted urban analytics) domains.</w:t>
      </w:r>
    </w:p>
    <w:p>
      <w:pPr>
        <w:numPr>
          <w:ilvl w:val="0"/>
          <w:numId w:val="1005"/>
        </w:numPr>
        <w:pStyle w:val="Compact"/>
      </w:pPr>
      <w:r>
        <w:t xml:space="preserve">A policy brief titled "Redefining the Architect’s Mandate in Nation-Building," submitted to URA and MINDEF for consideration in Singapore Singapore’s Urban Development Strategy.</w:t>
      </w:r>
    </w:p>
    <w:p>
      <w:pPr>
        <w:numPr>
          <w:ilvl w:val="0"/>
          <w:numId w:val="1005"/>
        </w:numPr>
        <w:pStyle w:val="Compact"/>
      </w:pPr>
      <w:r>
        <w:t xml:space="preserve">A public-facing digital archive of community engagement templates developed through the research, accessible via NUS Architecture's website—a resource for Architects across Singapore Singapore.</w:t>
      </w:r>
    </w:p>
    <w:bookmarkEnd w:id="26"/>
    <w:bookmarkStart w:id="27" w:name="conclusion"/>
    <w:p>
      <w:pPr>
        <w:pStyle w:val="Heading2"/>
      </w:pPr>
      <w:r>
        <w:t xml:space="preserve">8. Conclusion</w:t>
      </w:r>
    </w:p>
    <w:p>
      <w:pPr>
        <w:pStyle w:val="FirstParagraph"/>
      </w:pPr>
      <w:r>
        <w:t xml:space="preserve">This Thesis Proposal asserts that the Architect in Singapore Singapore is no longer merely a creator of buildings but a central architect of national resilience. The research will prove that redefining the Architect's role is not optional—it is imperative for Singapore to achieve its vision as a "City in Nature" by 2050. By centering the Architect’s voice within Singapore Singapore’s developmental narrative, this Thesis Proposal transcends academic inquiry to offer actionable pathways for urban transformation. It challenges us to view every new project—not as a structure on land, but as an opportunity to actively shape Singapore's soul and sustainability legacy. As the Architect of tomorrow must navigate Singapore's complex reality with both technical mastery and cultural sensitivity, this Thesis Proposal sets the stage for that essential evolution.</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Singapore Singapore</dc:title>
  <dc:creator/>
  <dc:language>en</dc:language>
  <cp:keywords/>
  <dcterms:created xsi:type="dcterms:W3CDTF">2026-07-20T02:51:07Z</dcterms:created>
  <dcterms:modified xsi:type="dcterms:W3CDTF">2026-07-20T02:51:07Z</dcterms:modified>
</cp:coreProperties>
</file>

<file path=docProps/custom.xml><?xml version="1.0" encoding="utf-8"?>
<Properties xmlns="http://schemas.openxmlformats.org/officeDocument/2006/custom-properties" xmlns:vt="http://schemas.openxmlformats.org/officeDocument/2006/docPropsVTypes"/>
</file>