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5181c27c18c6703be52e582a5a7d1bff7fb9ad9"/>
    <w:p>
      <w:pPr>
        <w:pStyle w:val="Heading1"/>
      </w:pPr>
      <w:r>
        <w:t xml:space="preserve">Thesis Proposal: The Evolving Role of the Architect in Shaping Sustainable and Culturally Resilient Urban Landscapes of Abu Dhabi, United Arab Emirates</w:t>
      </w:r>
    </w:p>
    <w:bookmarkStart w:id="20" w:name="introduction-and-background"/>
    <w:p>
      <w:pPr>
        <w:pStyle w:val="Heading2"/>
      </w:pPr>
      <w:r>
        <w:t xml:space="preserve">1. Introduction and Background</w:t>
      </w:r>
    </w:p>
    <w:p>
      <w:pPr>
        <w:pStyle w:val="FirstParagraph"/>
      </w:pPr>
      <w:r>
        <w:t xml:space="preserve">The United Arab Emirates, particularly Abu Dhabi, stands as a global exemplar of rapid urban transformation where architectural vision has fundamentally redefined skylines and societal paradigms. As the capital of the UAE, Abu Dhabi has embarked on an unprecedented architectural journey since the 1970s, evolving from a modest pearl-fishing settlement into a cosmopolitan metropolis blending futuristic innovation with cultural heritage. This metamorphosis positions the</w:t>
      </w:r>
      <w:r>
        <w:t xml:space="preserve"> </w:t>
      </w:r>
      <w:r>
        <w:rPr>
          <w:iCs/>
          <w:i/>
        </w:rPr>
        <w:t xml:space="preserve">Architect</w:t>
      </w:r>
      <w:r>
        <w:t xml:space="preserve"> </w:t>
      </w:r>
      <w:r>
        <w:t xml:space="preserve">not merely as a designer but as a pivotal societal catalyst shaping economic, environmental, and cultural identity. However, this trajectory faces critical challenges: balancing hyper-modern development with ecological sustainability in an arid environment, preserving Emirati cultural narratives amidst globalized aesthetics, and adapting to stringent government initiatives like Abu Dhabi Vision 2030 and the Estidama Pearl Rating System. This thesis proposal addresses the urgent need to redefine the</w:t>
      </w:r>
      <w:r>
        <w:t xml:space="preserve"> </w:t>
      </w:r>
      <w:r>
        <w:rPr>
          <w:iCs/>
          <w:i/>
        </w:rPr>
        <w:t xml:space="preserve">Architect</w:t>
      </w:r>
      <w:r>
        <w:t xml:space="preserve">'s role within Abu Dhabi's unique socio-ecological context, arguing that contemporary practice must evolve beyond aesthetic novelty toward integrated, regenerative design systems responsive to local climate, heritage, and community needs.</w:t>
      </w:r>
    </w:p>
    <w:bookmarkEnd w:id="20"/>
    <w:bookmarkStart w:id="21" w:name="problem-statement"/>
    <w:p>
      <w:pPr>
        <w:pStyle w:val="Heading2"/>
      </w:pPr>
      <w:r>
        <w:t xml:space="preserve">2. Problem Statement</w:t>
      </w:r>
    </w:p>
    <w:p>
      <w:pPr>
        <w:pStyle w:val="FirstParagraph"/>
      </w:pPr>
      <w:r>
        <w:t xml:space="preserve">Current architectural practice in Abu Dhabi often prioritizes symbolic grandeur over contextual resilience. While landmarks like the Louvre Abu Dhabi or Saadiyat Cultural District showcase technical mastery, they frequently operate as isolated "islands" of innovation disconnected from broader urban fabric and environmental imperatives. The UAE’s ambitious targets for carbon neutrality by 2050 (UAE Net Zero by 2050) are hampered by a persistent gap between policy rhetoric and on-the-ground implementation. Crucially,</w:t>
      </w:r>
      <w:r>
        <w:t xml:space="preserve"> </w:t>
      </w:r>
      <w:r>
        <w:rPr>
          <w:iCs/>
          <w:i/>
        </w:rPr>
        <w:t xml:space="preserve">Architects</w:t>
      </w:r>
      <w:r>
        <w:t xml:space="preserve"> </w:t>
      </w:r>
      <w:r>
        <w:t xml:space="preserve">in the United Arab Emirates Abu Dhabi often function within siloed systems—over-reliant on imported materials, Western design paradigms, and short-term project cycles—lacking frameworks to harmonize cultural continuity with climate adaptation. This disconnect risks perpetuating unsustainable urban patterns: over 50% of Abu Dhabi’s energy consumption is attributed to buildings (Abu Dhabi Urban Planning Council), while traditional Emirati architectural wisdom (e.g., wind towers, courtyards) remains underutilized. The research thus interrogates:</w:t>
      </w:r>
      <w:r>
        <w:t xml:space="preserve"> </w:t>
      </w:r>
      <w:r>
        <w:rPr>
          <w:iCs/>
          <w:i/>
        </w:rPr>
        <w:t xml:space="preserve">How can the role of the Architect in Abu Dhabi be redefined to embed cultural authenticity, ecological resilience, and community-centricity into every phase of urban development?</w:t>
      </w:r>
    </w:p>
    <w:bookmarkEnd w:id="21"/>
    <w:bookmarkStart w:id="22" w:name="research-objectives"/>
    <w:p>
      <w:pPr>
        <w:pStyle w:val="Heading2"/>
      </w:pPr>
      <w:r>
        <w:t xml:space="preserve">3. Research Objectives</w:t>
      </w:r>
    </w:p>
    <w:p>
      <w:pPr>
        <w:pStyle w:val="FirstParagraph"/>
      </w:pPr>
      <w:r>
        <w:t xml:space="preserve">This thesis proposes three interconnected objectives to redefine architectural practice in Abu Dhabi:</w:t>
      </w:r>
    </w:p>
    <w:p>
      <w:pPr>
        <w:numPr>
          <w:ilvl w:val="0"/>
          <w:numId w:val="1001"/>
        </w:numPr>
        <w:pStyle w:val="Compact"/>
      </w:pPr>
      <w:r>
        <w:rPr>
          <w:bCs/>
          <w:b/>
        </w:rPr>
        <w:t xml:space="preserve">Ethnographic Analysis of Cultural-Environmental Synergy:</w:t>
      </w:r>
      <w:r>
        <w:t xml:space="preserve"> </w:t>
      </w:r>
      <w:r>
        <w:t xml:space="preserve">Document case studies (e.g., Masdar City, Heritage Village, Qasr Al Hosn) to identify how existing projects either integrate or neglect Emirati environmental knowledge and social customs. This will establish a baseline for culturally embedded sustainability.</w:t>
      </w:r>
    </w:p>
    <w:p>
      <w:pPr>
        <w:numPr>
          <w:ilvl w:val="0"/>
          <w:numId w:val="1001"/>
        </w:numPr>
        <w:pStyle w:val="Compact"/>
      </w:pPr>
      <w:r>
        <w:rPr>
          <w:bCs/>
          <w:b/>
        </w:rPr>
        <w:t xml:space="preserve">Policy-Practice Gap Assessment:</w:t>
      </w:r>
      <w:r>
        <w:t xml:space="preserve"> </w:t>
      </w:r>
      <w:r>
        <w:t xml:space="preserve">Evaluate alignment between Abu Dhabi’s architectural regulations (Estidama, Abu Dhabi Urban Planning Council guidelines) and real-world implementation by local firms like Aedas, Zaha Hadid Architects, and Emirati studios (e.g., Al Janahi Architects). The focus will be on barriers to adopting passive cooling or vernacular materials.</w:t>
      </w:r>
    </w:p>
    <w:p>
      <w:pPr>
        <w:numPr>
          <w:ilvl w:val="0"/>
          <w:numId w:val="1001"/>
        </w:numPr>
        <w:pStyle w:val="Compact"/>
      </w:pPr>
      <w:r>
        <w:rPr>
          <w:bCs/>
          <w:b/>
        </w:rPr>
        <w:t xml:space="preserve">Co-Creative Framework Development:</w:t>
      </w:r>
      <w:r>
        <w:t xml:space="preserve"> </w:t>
      </w:r>
      <w:r>
        <w:t xml:space="preserve">Propose a scalable "Abu Dhabi Architectural Charter" synthesizing traditional wisdom (e.g., wind tower principles), digital tools (BIM for climate-responsive design), and community participation models. This framework will prioritize water conservation, energy efficiency, and cultural storytelling as non-negotiable design parameters.</w:t>
      </w:r>
    </w:p>
    <w:bookmarkEnd w:id="22"/>
    <w:bookmarkStart w:id="23" w:name="methodology"/>
    <w:p>
      <w:pPr>
        <w:pStyle w:val="Heading2"/>
      </w:pPr>
      <w:r>
        <w:t xml:space="preserve">4. Methodology</w:t>
      </w:r>
    </w:p>
    <w:p>
      <w:pPr>
        <w:pStyle w:val="FirstParagraph"/>
      </w:pPr>
      <w:r>
        <w:t xml:space="preserve">A mixed-methods approach will ensure rigorous, context-sensitive analysis:</w:t>
      </w:r>
    </w:p>
    <w:p>
      <w:pPr>
        <w:numPr>
          <w:ilvl w:val="0"/>
          <w:numId w:val="1002"/>
        </w:numPr>
        <w:pStyle w:val="Compact"/>
      </w:pPr>
      <w:r>
        <w:rPr>
          <w:bCs/>
          <w:b/>
        </w:rPr>
        <w:t xml:space="preserve">Qualitative Case Studies (Months 1-4):</w:t>
      </w:r>
      <w:r>
        <w:t xml:space="preserve"> </w:t>
      </w:r>
      <w:r>
        <w:t xml:space="preserve">Deep-dive analysis of five major projects across Abu Dhabi’s urban, cultural, and residential zones. This includes architectural documentation, site visits to assess environmental performance (e.g., thermal comfort data), and interviews with lead</w:t>
      </w:r>
      <w:r>
        <w:t xml:space="preserve"> </w:t>
      </w:r>
      <w:r>
        <w:rPr>
          <w:iCs/>
          <w:i/>
        </w:rPr>
        <w:t xml:space="preserve">Architects</w:t>
      </w:r>
      <w:r>
        <w:t xml:space="preserve">, heritage specialists, and community representatives.</w:t>
      </w:r>
    </w:p>
    <w:p>
      <w:pPr>
        <w:numPr>
          <w:ilvl w:val="0"/>
          <w:numId w:val="1002"/>
        </w:numPr>
        <w:pStyle w:val="Compact"/>
      </w:pPr>
      <w:r>
        <w:rPr>
          <w:bCs/>
          <w:b/>
        </w:rPr>
        <w:t xml:space="preserve">Quantitative Policy Audit (Months 5-6):</w:t>
      </w:r>
      <w:r>
        <w:t xml:space="preserve"> </w:t>
      </w:r>
      <w:r>
        <w:t xml:space="preserve">Statistical analysis of construction permits in Abu Dhabi over the past decade to correlate project compliance with Estidama standards against environmental outcomes (energy/water use per m²) using datasets from the Abu Dhabi Department of Municipalities and Transport.</w:t>
      </w:r>
    </w:p>
    <w:p>
      <w:pPr>
        <w:numPr>
          <w:ilvl w:val="0"/>
          <w:numId w:val="1002"/>
        </w:numPr>
        <w:pStyle w:val="Compact"/>
      </w:pPr>
      <w:r>
        <w:rPr>
          <w:bCs/>
          <w:b/>
        </w:rPr>
        <w:t xml:space="preserve">Participatory Workshops (Months 7-9):</w:t>
      </w:r>
      <w:r>
        <w:t xml:space="preserve"> </w:t>
      </w:r>
      <w:r>
        <w:t xml:space="preserve">Co-design sessions with Emirati architects, urban planners, and local communities to validate framework concepts. These will be hosted at institutions like the College of Architecture, Art and Design (Masdar Institute) and UAE University.</w:t>
      </w:r>
    </w:p>
    <w:p>
      <w:pPr>
        <w:numPr>
          <w:ilvl w:val="0"/>
          <w:numId w:val="1002"/>
        </w:numPr>
        <w:pStyle w:val="Compact"/>
      </w:pPr>
      <w:r>
        <w:rPr>
          <w:bCs/>
          <w:b/>
        </w:rPr>
        <w:t xml:space="preserve">Framework Synthesis (Months 10-12):</w:t>
      </w:r>
      <w:r>
        <w:t xml:space="preserve"> </w:t>
      </w:r>
      <w:r>
        <w:t xml:space="preserve">Development of the "Abu Dhabi Architectural Charter" prototype, tested through a virtual simulation model comparing conventional vs. charter-based design scenarios in a representative Abu Dhabi district (e.g., Al Reem Island).</w:t>
      </w:r>
    </w:p>
    <w:bookmarkEnd w:id="23"/>
    <w:bookmarkStart w:id="24" w:name="significance-and-expected-outcomes"/>
    <w:p>
      <w:pPr>
        <w:pStyle w:val="Heading2"/>
      </w:pPr>
      <w:r>
        <w:t xml:space="preserve">5. Significance and Expected Outcomes</w:t>
      </w:r>
    </w:p>
    <w:p>
      <w:pPr>
        <w:pStyle w:val="FirstParagraph"/>
      </w:pPr>
      <w:r>
        <w:t xml:space="preserve">This research addresses an acute gap in the United Arab Emirates Abu Dhabi’s architectural discourse by centering the</w:t>
      </w:r>
      <w:r>
        <w:t xml:space="preserve"> </w:t>
      </w:r>
      <w:r>
        <w:rPr>
          <w:iCs/>
          <w:i/>
        </w:rPr>
        <w:t xml:space="preserve">Architect</w:t>
      </w:r>
      <w:r>
        <w:t xml:space="preserve"> </w:t>
      </w:r>
      <w:r>
        <w:t xml:space="preserve">as a culture-bearer and sustainability strategist rather than a stylistic executor. Expected outcomes include:</w:t>
      </w:r>
    </w:p>
    <w:p>
      <w:pPr>
        <w:numPr>
          <w:ilvl w:val="0"/>
          <w:numId w:val="1003"/>
        </w:numPr>
        <w:pStyle w:val="Compact"/>
      </w:pPr>
      <w:r>
        <w:t xml:space="preserve">An open-access digital repository mapping cultural-ecological design strategies for Abu Dhabi’s unique context.</w:t>
      </w:r>
    </w:p>
    <w:p>
      <w:pPr>
        <w:numPr>
          <w:ilvl w:val="0"/>
          <w:numId w:val="1003"/>
        </w:numPr>
        <w:pStyle w:val="Compact"/>
      </w:pPr>
      <w:r>
        <w:t xml:space="preserve">A policy toolkit for the Department of Municipalities and Transport to revise building codes with embedded cultural and environmental criteria.</w:t>
      </w:r>
    </w:p>
    <w:p>
      <w:pPr>
        <w:numPr>
          <w:ilvl w:val="0"/>
          <w:numId w:val="1003"/>
        </w:numPr>
        <w:pStyle w:val="Compact"/>
      </w:pPr>
      <w:r>
        <w:t xml:space="preserve">The "Abu Dhabi Architectural Charter," offering a replicable model for cities in the Gulf region facing similar climate-culture tensions. This charter will position architects as indispensable agents of Abu Dhabi’s transition toward its 2030 vision—where cities are not just built but</w:t>
      </w:r>
      <w:r>
        <w:t xml:space="preserve"> </w:t>
      </w:r>
      <w:r>
        <w:rPr>
          <w:iCs/>
          <w:i/>
        </w:rPr>
        <w:t xml:space="preserve">belong</w:t>
      </w:r>
      <w:r>
        <w:t xml:space="preserve"> </w:t>
      </w:r>
      <w:r>
        <w:t xml:space="preserve">to their environment and people.</w:t>
      </w:r>
    </w:p>
    <w:p>
      <w:pPr>
        <w:pStyle w:val="FirstParagraph"/>
      </w:pPr>
      <w:r>
        <w:t xml:space="preserve">The thesis will directly contribute to UAE Centennial 2071 goals by equipping architects with actionable tools to transform Abu Dhabi into a global benchmark for "living heritage" architecture—where the skyline tells a story of both progress and rootedness. By prioritizing the</w:t>
      </w:r>
      <w:r>
        <w:t xml:space="preserve"> </w:t>
      </w:r>
      <w:r>
        <w:rPr>
          <w:iCs/>
          <w:i/>
        </w:rPr>
        <w:t xml:space="preserve">Architect</w:t>
      </w:r>
      <w:r>
        <w:t xml:space="preserve"> </w:t>
      </w:r>
      <w:r>
        <w:t xml:space="preserve">as a cultural-ecological steward, not just an innovator, this research redefines success: from iconic structures to regenerative communities.</w:t>
      </w:r>
    </w:p>
    <w:bookmarkEnd w:id="24"/>
    <w:bookmarkStart w:id="25" w:name="timeline-12-month-framework"/>
    <w:p>
      <w:pPr>
        <w:pStyle w:val="Heading2"/>
      </w:pPr>
      <w:r>
        <w:t xml:space="preserve">6. Timeline (12-Month Framework)</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Literature review; Site selection; Stakeholder mapping (Abu Dhabi government, architectural firms)</w:t>
      </w:r>
    </w:p>
    <w:p>
      <w:pPr>
        <w:pStyle w:val="BodyText"/>
      </w:pPr>
      <w:r>
        <w:t xml:space="preserve">4-6</w:t>
      </w:r>
    </w:p>
    <w:p>
      <w:pPr>
        <w:pStyle w:val="BodyText"/>
      </w:pPr>
      <w:r>
        <w:t xml:space="preserve">Fieldwork: Case study documentation; Interviews with 15+ architects/heritage experts</w:t>
      </w:r>
    </w:p>
    <w:p>
      <w:pPr>
        <w:pStyle w:val="BodyText"/>
      </w:pPr>
      <w:r>
        <w:t xml:space="preserve">7-8</w:t>
      </w:r>
    </w:p>
    <w:p>
      <w:pPr>
        <w:pStyle w:val="BodyText"/>
      </w:pPr>
      <w:r>
        <w:t xml:space="preserve">Policy audit; Data collection on Estidama compliance metrics</w:t>
      </w:r>
    </w:p>
    <w:p>
      <w:pPr>
        <w:pStyle w:val="BodyText"/>
      </w:pPr>
      <w:r>
        <w:t xml:space="preserve">9-10</w:t>
      </w:r>
    </w:p>
    <w:p>
      <w:pPr>
        <w:pStyle w:val="BodyText"/>
      </w:pPr>
      <w:r>
        <w:t xml:space="preserve">Co-design workshops; Framework drafting with stakeholders</w:t>
      </w:r>
    </w:p>
    <w:p>
      <w:pPr>
        <w:pStyle w:val="BodyText"/>
      </w:pPr>
      <w:r>
        <w:t xml:space="preserve">11-12</w:t>
      </w:r>
    </w:p>
    <w:p>
      <w:pPr>
        <w:pStyle w:val="BodyText"/>
      </w:pPr>
      <w:r>
        <w:t xml:space="preserve">Drafting thesis; Validation of "Abu Dhabi Architectural Charter" via simulation models</w:t>
      </w:r>
    </w:p>
    <w:bookmarkEnd w:id="25"/>
    <w:bookmarkStart w:id="26" w:name="conclusion"/>
    <w:p>
      <w:pPr>
        <w:pStyle w:val="Heading2"/>
      </w:pPr>
      <w:r>
        <w:t xml:space="preserve">7. Conclusion</w:t>
      </w:r>
    </w:p>
    <w:p>
      <w:pPr>
        <w:pStyle w:val="FirstParagraph"/>
      </w:pPr>
      <w:r>
        <w:t xml:space="preserve">In the United Arab Emirates Abu Dhabi, where every building is a statement about identity and future, the role of the</w:t>
      </w:r>
      <w:r>
        <w:t xml:space="preserve"> </w:t>
      </w:r>
      <w:r>
        <w:rPr>
          <w:iCs/>
          <w:i/>
        </w:rPr>
        <w:t xml:space="preserve">Architect</w:t>
      </w:r>
      <w:r>
        <w:t xml:space="preserve"> </w:t>
      </w:r>
      <w:r>
        <w:t xml:space="preserve">transcends aesthetics—it is an act of cultural and ecological responsibility. This thesis proposal asserts that meaningful progress in Abu Dhabi’s urban evolution requires reimagining architects not as designers of places, but as weavers of sustainable narratives that honor heritage while innovating for climate resilience. By grounding the research in Abu Dhabi’s specific environmental pressures (extreme heat, water scarcity), cultural ethos (Emirati hospitality, Islamic design principles), and policy landscape, this work offers a roadmap to transform architectural practice from reactive execution into proactive stewardship. The resulting framework will empower architects across the United Arab Emirates Abu Dhabi to build not just for today’s skyline, but for generations who will inherit a city designed with wisdom as its foundation. This is not merely a thesis on architecture—it is an invitation to reshape Abu Dhabi’s legacy.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Abu Dhabi, United Arab Emirates</dc:title>
  <dc:creator/>
  <dc:language>en</dc:language>
  <cp:keywords/>
  <dcterms:created xsi:type="dcterms:W3CDTF">2026-07-21T01:00:42Z</dcterms:created>
  <dcterms:modified xsi:type="dcterms:W3CDTF">2026-07-21T01:00:42Z</dcterms:modified>
</cp:coreProperties>
</file>

<file path=docProps/custom.xml><?xml version="1.0" encoding="utf-8"?>
<Properties xmlns="http://schemas.openxmlformats.org/officeDocument/2006/custom-properties" xmlns:vt="http://schemas.openxmlformats.org/officeDocument/2006/docPropsVTypes"/>
</file>