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Innovation</w:t>
      </w:r>
      <w:r>
        <w:t xml:space="preserve"> </w:t>
      </w:r>
      <w:r>
        <w:t xml:space="preserve">for</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e79b46f260f02aa44d8fd63d81654f2786ff600"/>
    <w:p>
      <w:pPr>
        <w:pStyle w:val="Heading1"/>
      </w:pPr>
      <w:r>
        <w:t xml:space="preserve">Thesis Proposal: Advancing Integrated Design Practice for the Modern Architect in United Kingdom London</w:t>
      </w:r>
    </w:p>
    <w:p>
      <w:pPr>
        <w:pStyle w:val="FirstParagraph"/>
      </w:pPr>
      <w:r>
        <w:rPr>
          <w:bCs/>
          <w:b/>
        </w:rPr>
        <w:t xml:space="preserve">Abstract:</w:t>
      </w:r>
      <w:r>
        <w:t xml:space="preserve"> </w:t>
      </w:r>
      <w:r>
        <w:t xml:space="preserve">This Thesis Proposal outlines a critical investigation into the evolving role of the Architect within contemporary urban development frameworks in United Kingdom London. As London confronts unprecedented pressures of climate urgency, housing scarcity, and social inequality, this research positions the Architect as a pivotal agent for transformative change. The study proposes a holistic framework integrating environmental stewardship, community engagement, and regulatory navigation to redefine professional practice in one of the world’s most complex urban ecosystems.</w:t>
      </w:r>
    </w:p>
    <w:bookmarkStart w:id="20" w:name="X63fedfad546f06c6a3e8f7e749dd3a50e05a029"/>
    <w:p>
      <w:pPr>
        <w:pStyle w:val="Heading2"/>
      </w:pPr>
      <w:r>
        <w:t xml:space="preserve">1. Introduction: The Imperative for Architectural Innovation in London</w:t>
      </w:r>
    </w:p>
    <w:p>
      <w:pPr>
        <w:pStyle w:val="FirstParagraph"/>
      </w:pPr>
      <w:r>
        <w:t xml:space="preserve">London stands as a global nexus where architectural practice intersects with profound socio-ecological challenges. With 8 million residents and a projected population growth of 1.5 million by 2030, the United Kingdom's capital faces acute pressure to deliver sustainable, equitable urban environments. Current building practices contribute to 40% of London’s carbon emissions (GLA, 2023), while housing shortages affect over 45% of households (London Councils, 2023). This Thesis Proposal asserts that the Architect must transcend traditional design roles to become a strategic integrator—bridging policy gaps, community needs, and technological innovation. Unlike generic urban studies, this research grounds itself in London’s unique regulatory landscape (including the Mayor’s Housing Strategy and London Plan 2021), examining how the Architect navigates these constraints to pioneer regenerative development.</w:t>
      </w:r>
    </w:p>
    <w:bookmarkEnd w:id="20"/>
    <w:bookmarkStart w:id="21" w:name="X0edc4e85fb8c504eb261384384965adfe67ad43"/>
    <w:p>
      <w:pPr>
        <w:pStyle w:val="Heading2"/>
      </w:pPr>
      <w:r>
        <w:t xml:space="preserve">2. Literature Review: Gaps in Contemporary Architectural Scholarship</w:t>
      </w:r>
    </w:p>
    <w:p>
      <w:pPr>
        <w:pStyle w:val="FirstParagraph"/>
      </w:pPr>
      <w:r>
        <w:t xml:space="preserve">Existing scholarship on London architecture often emphasizes either technical sustainability (e.g., BREEAM ratings) or social housing models, but rarely integrates both within a cohesive professional framework. Studies by the Royal Institute of British Architects (RIBA, 2022) identify a critical disconnect: while 78% of Architect practices cite climate action as a priority, only 19% report effective implementation due to fragmented regulatory systems. Crucially, no research addresses how London-specific constraints—such as listed building controls, heritage preservation mandates, and the National Planning Policy Framework (NPPF)—shape the Architect’s capacity for innovation. This Thesis Proposal directly fills this gap by centering the Architect’s lived experience within United Kingdom London’s institutional realities.</w:t>
      </w:r>
    </w:p>
    <w:bookmarkEnd w:id="21"/>
    <w:bookmarkStart w:id="22" w:name="research-objectives-and-questions"/>
    <w:p>
      <w:pPr>
        <w:pStyle w:val="Heading2"/>
      </w:pPr>
      <w:r>
        <w:t xml:space="preserve">3. Research Objectives and Questions</w:t>
      </w:r>
    </w:p>
    <w:p>
      <w:pPr>
        <w:pStyle w:val="FirstParagraph"/>
      </w:pPr>
      <w:r>
        <w:t xml:space="preserve">This Thesis Proposal establishes three interconnected objectives to guide a transformative approach for the Architect in London:</w:t>
      </w:r>
    </w:p>
    <w:p>
      <w:pPr>
        <w:numPr>
          <w:ilvl w:val="0"/>
          <w:numId w:val="1001"/>
        </w:numPr>
        <w:pStyle w:val="Compact"/>
      </w:pPr>
      <w:r>
        <w:rPr>
          <w:bCs/>
          <w:b/>
        </w:rPr>
        <w:t xml:space="preserve">Contextual Analysis:</w:t>
      </w:r>
      <w:r>
        <w:t xml:space="preserve"> </w:t>
      </w:r>
      <w:r>
        <w:t xml:space="preserve">Map the regulatory, economic, and social barriers preventing Architects from implementing circular economy principles in London’s dense urban fabric.</w:t>
      </w:r>
    </w:p>
    <w:p>
      <w:pPr>
        <w:numPr>
          <w:ilvl w:val="0"/>
          <w:numId w:val="1001"/>
        </w:numPr>
        <w:pStyle w:val="Compact"/>
      </w:pPr>
      <w:r>
        <w:rPr>
          <w:bCs/>
          <w:b/>
        </w:rPr>
        <w:t xml:space="preserve">Framework Development:</w:t>
      </w:r>
      <w:r>
        <w:t xml:space="preserve"> </w:t>
      </w:r>
      <w:r>
        <w:t xml:space="preserve">Co-create an evidence-based professional practice framework with leading Architects operating across London boroughs (e.g., Camden, Tower Hamlets) that integrates net-zero targets with community-led placemaking.</w:t>
      </w:r>
    </w:p>
    <w:p>
      <w:pPr>
        <w:numPr>
          <w:ilvl w:val="0"/>
          <w:numId w:val="1001"/>
        </w:numPr>
        <w:pStyle w:val="Compact"/>
      </w:pPr>
      <w:r>
        <w:rPr>
          <w:bCs/>
          <w:b/>
        </w:rPr>
        <w:t xml:space="preserve">Policy Integration:</w:t>
      </w:r>
      <w:r>
        <w:t xml:space="preserve"> </w:t>
      </w:r>
      <w:r>
        <w:t xml:space="preserve">Propose actionable recommendations for the Greater London Authority (GLA) and UK government to reform planning systems, enabling the Architect to lead integrated development from inception to post-occupancy.</w:t>
      </w:r>
    </w:p>
    <w:p>
      <w:pPr>
        <w:pStyle w:val="FirstParagraph"/>
      </w:pPr>
      <w:r>
        <w:t xml:space="preserve">Central research questions include:</w:t>
      </w:r>
    </w:p>
    <w:p>
      <w:pPr>
        <w:numPr>
          <w:ilvl w:val="0"/>
          <w:numId w:val="1002"/>
        </w:numPr>
        <w:pStyle w:val="Compact"/>
      </w:pPr>
      <w:r>
        <w:t xml:space="preserve">How do London’s unique heritage preservation policies constrain sustainable material innovation for the Architect?</w:t>
      </w:r>
    </w:p>
    <w:p>
      <w:pPr>
        <w:numPr>
          <w:ilvl w:val="0"/>
          <w:numId w:val="1002"/>
        </w:numPr>
        <w:pStyle w:val="Compact"/>
      </w:pPr>
      <w:r>
        <w:t xml:space="preserve">In what ways can Architects leverage Community Infrastructure Levy (CIL) funding to achieve social value beyond statutory requirements?</w:t>
      </w:r>
    </w:p>
    <w:p>
      <w:pPr>
        <w:numPr>
          <w:ilvl w:val="0"/>
          <w:numId w:val="1002"/>
        </w:numPr>
        <w:pStyle w:val="Compact"/>
      </w:pPr>
      <w:r>
        <w:t xml:space="preserve">What institutional mechanisms would empower the Architect to coordinate cross-sector partnerships (e.g., transport, energy, housing) in United Kingdom London projects?</w:t>
      </w:r>
    </w:p>
    <w:bookmarkEnd w:id="22"/>
    <w:bookmarkStart w:id="23" w:name="Xf41c92c298d9e121b05c384d64d86f94ac8999b"/>
    <w:p>
      <w:pPr>
        <w:pStyle w:val="Heading2"/>
      </w:pPr>
      <w:r>
        <w:t xml:space="preserve">4. Methodology: Practice-Led Research in the London Context</w:t>
      </w:r>
    </w:p>
    <w:p>
      <w:pPr>
        <w:pStyle w:val="FirstParagraph"/>
      </w:pPr>
      <w:r>
        <w:t xml:space="preserve">This Thesis Proposal employs a mixed-methods approach tailored to London’s urban complexity:</w:t>
      </w:r>
    </w:p>
    <w:p>
      <w:pPr>
        <w:numPr>
          <w:ilvl w:val="0"/>
          <w:numId w:val="1003"/>
        </w:numPr>
        <w:pStyle w:val="Compact"/>
      </w:pPr>
      <w:r>
        <w:rPr>
          <w:bCs/>
          <w:b/>
        </w:rPr>
        <w:t xml:space="preserve">Phase 1 (6 months):</w:t>
      </w:r>
      <w:r>
        <w:t xml:space="preserve"> </w:t>
      </w:r>
      <w:r>
        <w:t xml:space="preserve">Documentary analysis of 50+ recent London planning applications, assessing how Architects navigate NPPF and London Plan compliance.</w:t>
      </w:r>
    </w:p>
    <w:p>
      <w:pPr>
        <w:numPr>
          <w:ilvl w:val="0"/>
          <w:numId w:val="1003"/>
        </w:numPr>
        <w:pStyle w:val="Compact"/>
      </w:pPr>
      <w:r>
        <w:rPr>
          <w:bCs/>
          <w:b/>
        </w:rPr>
        <w:t xml:space="preserve">Phase 2 (8 months):</w:t>
      </w:r>
      <w:r>
        <w:t xml:space="preserve"> </w:t>
      </w:r>
      <w:r>
        <w:t xml:space="preserve">Participatory action research with a cohort of 25 Architects from diverse practice scales (e.g., Zaha Hadid Architects, local practices like Studio Egret West) through workshops in United Kingdom London boroughs.</w:t>
      </w:r>
    </w:p>
    <w:p>
      <w:pPr>
        <w:numPr>
          <w:ilvl w:val="0"/>
          <w:numId w:val="1003"/>
        </w:numPr>
        <w:pStyle w:val="Compact"/>
      </w:pPr>
      <w:r>
        <w:rPr>
          <w:bCs/>
          <w:b/>
        </w:rPr>
        <w:t xml:space="preserve">Phase 3 (4 months):</w:t>
      </w:r>
      <w:r>
        <w:t xml:space="preserve"> </w:t>
      </w:r>
      <w:r>
        <w:t xml:space="preserve">Case study deep dives into three exemplary London projects: the Elephant &amp; Castle regeneration (using modular construction), the Croydon One redevelopment (community land trust model), and a proposed net-zero housing scheme in Newham.</w:t>
      </w:r>
    </w:p>
    <w:p>
      <w:pPr>
        <w:pStyle w:val="FirstParagraph"/>
      </w:pPr>
      <w:r>
        <w:t xml:space="preserve">Quantitative data will be triangulated with qualitative insights from Architects, council planners, and residents—ensuring the framework remains grounded in London’s on-the-ground realities. Crucially, this methodology centers the Architect as co-researcher rather than subject, acknowledging their agency within systemic constraints.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two transformative contributions to the field:</w:t>
      </w:r>
    </w:p>
    <w:p>
      <w:pPr>
        <w:numPr>
          <w:ilvl w:val="0"/>
          <w:numId w:val="1004"/>
        </w:numPr>
        <w:pStyle w:val="Compact"/>
      </w:pPr>
      <w:r>
        <w:rPr>
          <w:bCs/>
          <w:b/>
        </w:rPr>
        <w:t xml:space="preserve">A Professional Practice Toolkit:</w:t>
      </w:r>
      <w:r>
        <w:t xml:space="preserve"> </w:t>
      </w:r>
      <w:r>
        <w:t xml:space="preserve">A publicly accessible digital resource for Architects in United Kingdom London, featuring:</w:t>
      </w:r>
    </w:p>
    <w:p>
      <w:pPr>
        <w:numPr>
          <w:ilvl w:val="1"/>
          <w:numId w:val="1005"/>
        </w:numPr>
        <w:pStyle w:val="Compact"/>
      </w:pPr>
      <w:r>
        <w:t xml:space="preserve">A regulatory navigation guide for heritage-sensitive sustainability</w:t>
      </w:r>
    </w:p>
    <w:p>
      <w:pPr>
        <w:numPr>
          <w:ilvl w:val="1"/>
          <w:numId w:val="1005"/>
        </w:numPr>
        <w:pStyle w:val="Compact"/>
      </w:pPr>
      <w:r>
        <w:t xml:space="preserve">Cohort-based benchmarking of social value metrics (beyond minimum CIL requirements)</w:t>
      </w:r>
    </w:p>
    <w:p>
      <w:pPr>
        <w:numPr>
          <w:ilvl w:val="1"/>
          <w:numId w:val="1005"/>
        </w:numPr>
        <w:pStyle w:val="Compact"/>
      </w:pPr>
      <w:r>
        <w:t xml:space="preserve">Templates for cross-sector collaboration with transport authorities and housing associations</w:t>
      </w:r>
    </w:p>
    <w:p>
      <w:pPr>
        <w:numPr>
          <w:ilvl w:val="0"/>
          <w:numId w:val="1004"/>
        </w:numPr>
        <w:pStyle w:val="Compact"/>
      </w:pPr>
      <w:r>
        <w:rPr>
          <w:bCs/>
          <w:b/>
        </w:rPr>
        <w:t xml:space="preserve">Policy Briefing for London’s Governance:</w:t>
      </w:r>
      <w:r>
        <w:t xml:space="preserve"> </w:t>
      </w:r>
      <w:r>
        <w:t xml:space="preserve">Evidence-based recommendations for the Mayor of London’s Office on reforming the "Design Quality" criteria within the London Plan, emphasizing Architect-led coordination of climate adaptation strategies.</w:t>
      </w:r>
    </w:p>
    <w:p>
      <w:pPr>
        <w:pStyle w:val="FirstParagraph"/>
      </w:pPr>
      <w:r>
        <w:t xml:space="preserve">The significance extends beyond academia: By positioning the Architect as a central figure in London’s resilience strategy, this research directly supports UK government commitments like the 2050 Net Zero target and the National Infrastructure Strategy. For practitioners, it offers a pragmatic roadmap to overcome bureaucratic inertia—turning regulatory constraints into innovation catalysts. The Thesis Proposal thus asserts that Architects are not merely designers of buildings but indispensable architects of London’s future urban system.</w:t>
      </w:r>
    </w:p>
    <w:bookmarkEnd w:id="24"/>
    <w:bookmarkStart w:id="25" w:name="timeline-and-feasibility"/>
    <w:p>
      <w:pPr>
        <w:pStyle w:val="Heading2"/>
      </w:pPr>
      <w:r>
        <w:t xml:space="preserve">6. Timeline and Feasibility</w:t>
      </w:r>
    </w:p>
    <w:p>
      <w:pPr>
        <w:pStyle w:val="FirstParagraph"/>
      </w:pPr>
      <w:r>
        <w:t xml:space="preserve">The 36-month research timeline aligns with London’s policy cycles, ensuring real-time relevance: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London-Specific Focus</w:t>
            </w:r>
          </w:p>
        </w:tc>
      </w:tr>
      <w:tr>
        <w:tc>
          <w:tcPr/>
          <w:p>
            <w:pPr>
              <w:pStyle w:val="Compact"/>
              <w:jc w:val="left"/>
            </w:pPr>
            <w:r>
              <w:t xml:space="preserve">Literature Review &amp; Regulatory Mapping</w:t>
            </w:r>
          </w:p>
        </w:tc>
        <w:tc>
          <w:tcPr/>
          <w:p>
            <w:pPr>
              <w:pStyle w:val="Compact"/>
              <w:jc w:val="left"/>
            </w:pPr>
            <w:r>
              <w:t xml:space="preserve">1-6</w:t>
            </w:r>
          </w:p>
        </w:tc>
        <w:tc>
          <w:tcPr/>
          <w:p>
            <w:pPr>
              <w:pStyle w:val="Compact"/>
              <w:jc w:val="left"/>
            </w:pPr>
            <w:r>
              <w:t xml:space="preserve">NPPF, London Plan 2021, and Historic England guidelines in boroughs like Westminster and Islington</w:t>
            </w:r>
          </w:p>
        </w:tc>
      </w:tr>
      <w:tr>
        <w:tc>
          <w:tcPr/>
          <w:p>
            <w:pPr>
              <w:pStyle w:val="Compact"/>
              <w:jc w:val="left"/>
            </w:pPr>
            <w:r>
              <w:t xml:space="preserve">Architect Co-Creation Workshops</w:t>
            </w:r>
          </w:p>
        </w:tc>
        <w:tc>
          <w:tcPr/>
          <w:p>
            <w:pPr>
              <w:pStyle w:val="Compact"/>
              <w:jc w:val="left"/>
            </w:pPr>
            <w:r>
              <w:t xml:space="preserve">7-18</w:t>
            </w:r>
          </w:p>
        </w:tc>
        <w:tc>
          <w:tcPr/>
          <w:p>
            <w:pPr>
              <w:pStyle w:val="Compact"/>
              <w:jc w:val="left"/>
            </w:pPr>
            <w:r>
              <w:t xml:space="preserve">Collaboration with RIBA London Chapter, B&amp;Q Sustainable Construction Forum, and London borough planning teams</w:t>
            </w:r>
          </w:p>
        </w:tc>
      </w:tr>
      <w:tr>
        <w:tc>
          <w:tcPr/>
          <w:p>
            <w:pPr>
              <w:pStyle w:val="Compact"/>
              <w:jc w:val="left"/>
            </w:pPr>
            <w:r>
              <w:t xml:space="preserve">Case Study Implementation &amp; Validation</w:t>
            </w:r>
          </w:p>
        </w:tc>
        <w:tc>
          <w:tcPr/>
          <w:p>
            <w:pPr>
              <w:pStyle w:val="Compact"/>
              <w:jc w:val="left"/>
            </w:pPr>
            <w:r>
              <w:t xml:space="preserve">19-30</w:t>
            </w:r>
          </w:p>
        </w:tc>
        <w:tc>
          <w:tcPr/>
          <w:p>
            <w:pPr>
              <w:pStyle w:val="Compact"/>
              <w:jc w:val="left"/>
            </w:pPr>
            <w:r>
              <w:t xml:space="preserve">Fieldwork in active regeneration zones (e.g., Old Oak Common, Queen Elizabeth Olympic Park)</w:t>
            </w:r>
          </w:p>
        </w:tc>
      </w:tr>
      <w:tr>
        <w:tc>
          <w:tcPr/>
          <w:p>
            <w:pPr>
              <w:pStyle w:val="Compact"/>
              <w:jc w:val="left"/>
            </w:pPr>
            <w:r>
              <w:t xml:space="preserve">Dissertation &amp; Policy Advocacy</w:t>
            </w:r>
          </w:p>
        </w:tc>
        <w:tc>
          <w:tcPr/>
          <w:p>
            <w:pPr>
              <w:pStyle w:val="Compact"/>
              <w:jc w:val="left"/>
            </w:pPr>
            <w:r>
              <w:t xml:space="preserve">31-36</w:t>
            </w:r>
          </w:p>
        </w:tc>
        <w:tc>
          <w:tcPr/>
          <w:p>
            <w:pPr>
              <w:pStyle w:val="Compact"/>
              <w:jc w:val="left"/>
            </w:pPr>
            <w:r>
              <w:t xml:space="preserve">Presentation to GLA’s Climate Action Committee and UK Parliament’s Urban Affairs Committee</w:t>
            </w:r>
          </w:p>
        </w:tc>
      </w:tr>
    </w:tbl>
    <w:bookmarkEnd w:id="25"/>
    <w:bookmarkStart w:id="27" w:name="Xaeee54663de810ec04283814b149c3793917aef"/>
    <w:p>
      <w:pPr>
        <w:pStyle w:val="Heading2"/>
      </w:pPr>
      <w:r>
        <w:t xml:space="preserve">7. Conclusion: Architect as Urban Catalyst in United Kingdom London</w:t>
      </w:r>
    </w:p>
    <w:p>
      <w:pPr>
        <w:pStyle w:val="FirstParagraph"/>
      </w:pPr>
      <w:r>
        <w:t xml:space="preserve">This Thesis Proposal transcends conventional architectural research by embedding the Architect within London’s urgent systemic challenges. It argues that without redefining the profession’s operational framework—specifically addressing how Architects navigate United Kingdom London’s layered governance—the city cannot achieve its climate and equity ambitions. The proposed framework will not only equip Architects with practical tools but also catalyze institutional change, positioning them as leaders in the UK’s green transition. As London prepares for COP29 and the UN Habitat III follow-up, this research offers an actionable blueprint for how Architect practice can become the engine of a globally significant urban renewal movement. In doing so, it affirms that in United Kingdom London—a city where every building tells a story—the Architect holds the pen to write its next chapter.</w:t>
      </w:r>
    </w:p>
    <w:bookmarkStart w:id="26" w:name="references-selected"/>
    <w:p>
      <w:pPr>
        <w:pStyle w:val="Heading3"/>
      </w:pPr>
      <w:r>
        <w:t xml:space="preserve">References (Selected)</w:t>
      </w:r>
    </w:p>
    <w:p>
      <w:pPr>
        <w:numPr>
          <w:ilvl w:val="0"/>
          <w:numId w:val="1006"/>
        </w:numPr>
        <w:pStyle w:val="Compact"/>
      </w:pPr>
      <w:r>
        <w:t xml:space="preserve">Greater London Authority (GLA). (2023). *London’s Climate Action Report*. London: GLA Publications.</w:t>
      </w:r>
    </w:p>
    <w:p>
      <w:pPr>
        <w:numPr>
          <w:ilvl w:val="0"/>
          <w:numId w:val="1006"/>
        </w:numPr>
        <w:pStyle w:val="Compact"/>
      </w:pPr>
      <w:r>
        <w:t xml:space="preserve">Royal Institute of British Architects (RIBA). (2022). *Architects and the Net Zero Challenge*. London: RIBA Publishing.</w:t>
      </w:r>
    </w:p>
    <w:p>
      <w:pPr>
        <w:numPr>
          <w:ilvl w:val="0"/>
          <w:numId w:val="1006"/>
        </w:numPr>
        <w:pStyle w:val="Compact"/>
      </w:pPr>
      <w:r>
        <w:t xml:space="preserve">London Councils. (2023). *Housing Needs Assessment: London in Focus*. London: Local Government Association.</w:t>
      </w:r>
    </w:p>
    <w:p>
      <w:pPr>
        <w:numPr>
          <w:ilvl w:val="0"/>
          <w:numId w:val="1006"/>
        </w:numPr>
        <w:pStyle w:val="Compact"/>
      </w:pPr>
      <w:r>
        <w:t xml:space="preserve">Department for Levelling Up, Housing and Communities. (2021). *National Planning Policy Framework (NPPF)*. UK Government.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Innovation for the Contemporary Architect in United Kingdom London</dc:title>
  <dc:creator/>
  <dc:language>en</dc:language>
  <cp:keywords/>
  <dcterms:created xsi:type="dcterms:W3CDTF">2026-07-23T02:44:32Z</dcterms:created>
  <dcterms:modified xsi:type="dcterms:W3CDTF">2026-07-23T02:44:32Z</dcterms:modified>
</cp:coreProperties>
</file>

<file path=docProps/custom.xml><?xml version="1.0" encoding="utf-8"?>
<Properties xmlns="http://schemas.openxmlformats.org/officeDocument/2006/custom-properties" xmlns:vt="http://schemas.openxmlformats.org/officeDocument/2006/docPropsVTypes"/>
</file>