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7bb782659fc56c0a3c7832eb6dc10b431bc09e"/>
    <w:p>
      <w:pPr>
        <w:pStyle w:val="Heading1"/>
      </w:pPr>
      <w:r>
        <w:t xml:space="preserve">Thesis Proposal: The Evolving Role of the Architect in Vietnam Ho Chi Minh City</w:t>
      </w:r>
    </w:p>
    <w:bookmarkStart w:id="20" w:name="introduction-and-background"/>
    <w:p>
      <w:pPr>
        <w:pStyle w:val="Heading2"/>
      </w:pPr>
      <w:r>
        <w:t xml:space="preserve">1. Introduction and Background</w:t>
      </w:r>
    </w:p>
    <w:p>
      <w:pPr>
        <w:pStyle w:val="FirstParagraph"/>
      </w:pPr>
      <w:r>
        <w:t xml:space="preserve">Ho Chi Minh City (HCMC), Vietnam's economic powerhouse, is undergoing unprecedented urban transformation. As the nation's most populous metropolis with over 9 million residents and a booming construction sector, HCMC exemplifies the tension between rapid modernization and cultural preservation. The role of the</w:t>
      </w:r>
      <w:r>
        <w:t xml:space="preserve"> </w:t>
      </w:r>
      <w:r>
        <w:t xml:space="preserve">Architect</w:t>
      </w:r>
      <w:r>
        <w:t xml:space="preserve"> </w:t>
      </w:r>
      <w:r>
        <w:t xml:space="preserve">in this context has evolved from mere building designer to pivotal agent of sustainable urban development. This thesis proposal examines how contemporary</w:t>
      </w:r>
      <w:r>
        <w:t xml:space="preserve"> </w:t>
      </w:r>
      <w:r>
        <w:t xml:space="preserve">Architect</w:t>
      </w:r>
      <w:r>
        <w:t xml:space="preserve">s in Vietnam Ho Chi Minh City navigate complex challenges—including climate vulnerability, historical continuity, and socio-economic disparity—to shape a resilient urban future. The research addresses a critical gap: while global architectural discourse focuses on Western contexts, HCMC presents a unique case where traditional Vietnamese building wisdom must merge with cutting-edge sustainable technology amid explosive growth.</w:t>
      </w:r>
    </w:p>
    <w:bookmarkEnd w:id="20"/>
    <w:bookmarkStart w:id="21" w:name="problem-statement"/>
    <w:p>
      <w:pPr>
        <w:pStyle w:val="Heading2"/>
      </w:pPr>
      <w:r>
        <w:t xml:space="preserve">2. Problem Statement</w:t>
      </w:r>
    </w:p>
    <w:p>
      <w:pPr>
        <w:pStyle w:val="FirstParagraph"/>
      </w:pPr>
      <w:r>
        <w:t xml:space="preserve">HCMC's development trajectory reveals acute contradictions. Over 1,000 high-rise buildings have been constructed in the past decade, exacerbating urban heat island effects and flooding risks. Simultaneously, historic districts like the Old Quarter face demolition for "modernization," erasing cultural identity. Current architectural practices often prioritize speed and profit over environmental or social considerations—evident in projects with minimal green space or disregard for traditional passive cooling techniques. This thesis argues that without redefining the</w:t>
      </w:r>
      <w:r>
        <w:t xml:space="preserve"> </w:t>
      </w:r>
      <w:r>
        <w:t xml:space="preserve">Architect</w:t>
      </w:r>
      <w:r>
        <w:t xml:space="preserve">'s mandate to integrate ecological resilience, cultural continuity, and inclusive design, HCMC's urban fabric will deteriorate further. The core problem is this: How can the</w:t>
      </w:r>
      <w:r>
        <w:t xml:space="preserve"> </w:t>
      </w:r>
      <w:r>
        <w:t xml:space="preserve">Architect</w:t>
      </w:r>
      <w:r>
        <w:t xml:space="preserve"> </w:t>
      </w:r>
      <w:r>
        <w:t xml:space="preserve">in Vietnam Ho Chi Minh City transcend conventional roles to become a steward of sustainable, equitable urbanism?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Evaluate</w:t>
      </w:r>
      <w:r>
        <w:t xml:space="preserve"> </w:t>
      </w:r>
      <w:r>
        <w:t xml:space="preserve">the current professional practices of architects in HCMC through comparative case studies (e.g., Saigon Riverside Park vs. demolished heritage sites)</w:t>
      </w:r>
    </w:p>
    <w:p>
      <w:pPr>
        <w:numPr>
          <w:ilvl w:val="0"/>
          <w:numId w:val="1001"/>
        </w:numPr>
        <w:pStyle w:val="Compact"/>
      </w:pPr>
      <w:r>
        <w:rPr>
          <w:bCs/>
          <w:b/>
        </w:rPr>
        <w:t xml:space="preserve">Identify</w:t>
      </w:r>
      <w:r>
        <w:t xml:space="preserve"> </w:t>
      </w:r>
      <w:r>
        <w:t xml:space="preserve">key tensions between rapid development pressures and sustainable design principles in HCMC's context</w:t>
      </w:r>
    </w:p>
    <w:p>
      <w:pPr>
        <w:numPr>
          <w:ilvl w:val="0"/>
          <w:numId w:val="1001"/>
        </w:numPr>
        <w:pStyle w:val="Compact"/>
      </w:pPr>
      <w:r>
        <w:rPr>
          <w:bCs/>
          <w:b/>
        </w:rPr>
        <w:t xml:space="preserve">Propose</w:t>
      </w:r>
      <w:r>
        <w:t xml:space="preserve"> </w:t>
      </w:r>
      <w:r>
        <w:t xml:space="preserve">a culturally grounded architectural framework for resilience, incorporating Vietnamese vernacular knowledge (e.g., stilt houses, water management) with contemporary climate-responsive technologies</w:t>
      </w:r>
    </w:p>
    <w:p>
      <w:pPr>
        <w:numPr>
          <w:ilvl w:val="0"/>
          <w:numId w:val="1001"/>
        </w:numPr>
        <w:pStyle w:val="Compact"/>
      </w:pPr>
      <w:r>
        <w:rPr>
          <w:bCs/>
          <w:b/>
        </w:rPr>
        <w:t xml:space="preserve">Analyze</w:t>
      </w:r>
      <w:r>
        <w:t xml:space="preserve"> </w:t>
      </w:r>
      <w:r>
        <w:t xml:space="preserve">how policy gaps (e.g., weak enforcement of green building codes) constrain the</w:t>
      </w:r>
      <w:r>
        <w:t xml:space="preserve"> </w:t>
      </w:r>
      <w:r>
        <w:t xml:space="preserve">Architect</w:t>
      </w:r>
      <w:r>
        <w:t xml:space="preserve">'s ability to implement holistic solutions</w:t>
      </w:r>
    </w:p>
    <w:bookmarkEnd w:id="22"/>
    <w:bookmarkStart w:id="23" w:name="X9fd6224d6de9e72abf7344f005302d008435a14"/>
    <w:p>
      <w:pPr>
        <w:pStyle w:val="Heading2"/>
      </w:pPr>
      <w:r>
        <w:t xml:space="preserve">4. Literature Review: Contextualizing HCMC's Architectural Discourse</w:t>
      </w:r>
    </w:p>
    <w:p>
      <w:pPr>
        <w:pStyle w:val="FirstParagraph"/>
      </w:pPr>
      <w:r>
        <w:t xml:space="preserve">Existing scholarship on Vietnamese architecture often focuses on pre-war colonial structures or post-1986 Đổi Mới reforms (Bui, 2015; Hoang, 2020). However, critical gaps persist regarding the contemporary</w:t>
      </w:r>
      <w:r>
        <w:t xml:space="preserve"> </w:t>
      </w:r>
      <w:r>
        <w:t xml:space="preserve">Architect</w:t>
      </w:r>
      <w:r>
        <w:t xml:space="preserve">'s agency in HCMC. Recent works by Nguyen (2023) on "adaptive reuse" highlight successful heritage projects but neglect systemic policy barriers. Meanwhile, global studies on urban resilience (e.g., UN-Habitat, 2021) rarely address Southeast Asian micro-contexts. This thesis bridges these divides by centering HCMC as a laboratory for reimagining architectural practice in the Global South—where architects must contend with monsoons, subsidence, and informal settlements while navigating complex stakeholder dynamics (government, developers, communities).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Qualitative Analysis:</w:t>
      </w:r>
      <w:r>
        <w:t xml:space="preserve"> </w:t>
      </w:r>
      <w:r>
        <w:t xml:space="preserve">In-depth interviews with 15+ practicing architects in HCMC (including pioneers like Võ Trọng Nghĩa and emerging firms) to map professional challenges and ethical dilemmas.</w:t>
      </w:r>
    </w:p>
    <w:p>
      <w:pPr>
        <w:numPr>
          <w:ilvl w:val="0"/>
          <w:numId w:val="1002"/>
        </w:numPr>
        <w:pStyle w:val="Compact"/>
      </w:pPr>
      <w:r>
        <w:rPr>
          <w:bCs/>
          <w:b/>
        </w:rPr>
        <w:t xml:space="preserve">Case Study Comparison:</w:t>
      </w:r>
      <w:r>
        <w:t xml:space="preserve"> </w:t>
      </w:r>
      <w:r>
        <w:t xml:space="preserve">Critical assessment of three projects—</w:t>
      </w:r>
      <w:r>
        <w:rPr>
          <w:iCs/>
          <w:i/>
        </w:rPr>
        <w:t xml:space="preserve">Saigon Skydome</w:t>
      </w:r>
      <w:r>
        <w:t xml:space="preserve"> </w:t>
      </w:r>
      <w:r>
        <w:t xml:space="preserve">(sustainable high-rise),</w:t>
      </w:r>
      <w:r>
        <w:t xml:space="preserve"> </w:t>
      </w:r>
      <w:r>
        <w:rPr>
          <w:iCs/>
          <w:i/>
        </w:rPr>
        <w:t xml:space="preserve">Mỹ Thuận Bridge Park</w:t>
      </w:r>
      <w:r>
        <w:t xml:space="preserve"> </w:t>
      </w:r>
      <w:r>
        <w:t xml:space="preserve">(community-led green space), and the</w:t>
      </w:r>
      <w:r>
        <w:t xml:space="preserve"> </w:t>
      </w:r>
      <w:r>
        <w:rPr>
          <w:iCs/>
          <w:i/>
        </w:rPr>
        <w:t xml:space="preserve">Dương Kinh Heritage Conservation Plan</w:t>
      </w:r>
      <w:r>
        <w:t xml:space="preserve">—to identify best practices and failures.</w:t>
      </w:r>
    </w:p>
    <w:p>
      <w:pPr>
        <w:numPr>
          <w:ilvl w:val="0"/>
          <w:numId w:val="1002"/>
        </w:numPr>
        <w:pStyle w:val="Compact"/>
      </w:pPr>
      <w:r>
        <w:rPr>
          <w:bCs/>
          <w:b/>
        </w:rPr>
        <w:t xml:space="preserve">Environmental Assessment:</w:t>
      </w:r>
      <w:r>
        <w:t xml:space="preserve"> </w:t>
      </w:r>
      <w:r>
        <w:t xml:space="preserve">GIS mapping of flood risk zones overlaid with architectural projects to correlate design choices with climate resilience.</w:t>
      </w:r>
    </w:p>
    <w:p>
      <w:pPr>
        <w:numPr>
          <w:ilvl w:val="0"/>
          <w:numId w:val="1002"/>
        </w:numPr>
        <w:pStyle w:val="Compact"/>
      </w:pPr>
      <w:r>
        <w:rPr>
          <w:bCs/>
          <w:b/>
        </w:rPr>
        <w:t xml:space="preserve">Policy Review:</w:t>
      </w:r>
      <w:r>
        <w:t xml:space="preserve"> </w:t>
      </w:r>
      <w:r>
        <w:t xml:space="preserve">Analysis of HCMC’s Urban Planning Strategy (2021–2030) and building regulations against international standards (e.g., LEED, BREEAM).</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validated framework for "Contextual Resilience Architecture" tailored to HCMC’s climate and culture, emphasizing low-tech solutions (e.g., green roofs using local bamboo) alongside digital tools like BIM for flood simulation.</w:t>
      </w:r>
    </w:p>
    <w:p>
      <w:pPr>
        <w:numPr>
          <w:ilvl w:val="0"/>
          <w:numId w:val="1003"/>
        </w:numPr>
        <w:pStyle w:val="Compact"/>
      </w:pPr>
      <w:r>
        <w:t xml:space="preserve">Policy recommendations addressing critical gaps—such as mandating 30% green space in new developments or creating tax incentives for heritage-sensitive projects—to empower the</w:t>
      </w:r>
      <w:r>
        <w:t xml:space="preserve"> </w:t>
      </w:r>
      <w:r>
        <w:t xml:space="preserve">Architect</w:t>
      </w:r>
      <w:r>
        <w:t xml:space="preserve"> </w:t>
      </w:r>
      <w:r>
        <w:t xml:space="preserve">as a policy catalyst.</w:t>
      </w:r>
    </w:p>
    <w:p>
      <w:pPr>
        <w:numPr>
          <w:ilvl w:val="0"/>
          <w:numId w:val="1003"/>
        </w:numPr>
        <w:pStyle w:val="Compact"/>
      </w:pPr>
      <w:r>
        <w:t xml:space="preserve">A professional roadmap demonstrating how architects can lead community co-design processes, ensuring marginalized groups (e.g., informal vendors in street markets) shape their urban environments.</w:t>
      </w:r>
    </w:p>
    <w:p>
      <w:pPr>
        <w:pStyle w:val="FirstParagraph"/>
      </w:pPr>
      <w:r>
        <w:t xml:space="preserve">The significance extends beyond academia: HCMC’s challenges mirror those of 100+ rapidly urbanizing cities in Asia. By positioning the</w:t>
      </w:r>
      <w:r>
        <w:t xml:space="preserve"> </w:t>
      </w:r>
      <w:r>
        <w:t xml:space="preserve">Architect</w:t>
      </w:r>
      <w:r>
        <w:t xml:space="preserve"> </w:t>
      </w:r>
      <w:r>
        <w:t xml:space="preserve">as a pivotal change-maker—not just a designer—the thesis offers scalable models for equitable growth in Vietnam and globally.</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interview protocol development</w:t>
      </w:r>
      <w:r>
        <w:br/>
      </w:r>
      <w:r>
        <w:rPr>
          <w:bCs/>
          <w:b/>
        </w:rPr>
        <w:t xml:space="preserve">Months 4–6:</w:t>
      </w:r>
      <w:r>
        <w:t xml:space="preserve"> </w:t>
      </w:r>
      <w:r>
        <w:t xml:space="preserve">Fieldwork: site visits, interviews, case study data collection</w:t>
      </w:r>
      <w:r>
        <w:br/>
      </w:r>
      <w:r>
        <w:rPr>
          <w:bCs/>
          <w:b/>
        </w:rPr>
        <w:t xml:space="preserve">Months 7–9:</w:t>
      </w:r>
      <w:r>
        <w:t xml:space="preserve"> </w:t>
      </w:r>
      <w:r>
        <w:t xml:space="preserve">Data analysis and framework formulation</w:t>
      </w:r>
      <w:r>
        <w:br/>
      </w:r>
      <w:r>
        <w:rPr>
          <w:bCs/>
          <w:b/>
        </w:rPr>
        <w:t xml:space="preserve">Months 10–12:</w:t>
      </w:r>
      <w:r>
        <w:t xml:space="preserve"> </w:t>
      </w:r>
      <w:r>
        <w:t xml:space="preserve">Drafting thesis and policy recommendations</w:t>
      </w:r>
    </w:p>
    <w:bookmarkEnd w:id="26"/>
    <w:bookmarkStart w:id="27" w:name="conclusion"/>
    <w:p>
      <w:pPr>
        <w:pStyle w:val="Heading2"/>
      </w:pPr>
      <w:r>
        <w:t xml:space="preserve">8. Conclusion</w:t>
      </w:r>
    </w:p>
    <w:p>
      <w:pPr>
        <w:pStyle w:val="FirstParagraph"/>
      </w:pPr>
      <w:r>
        <w:t xml:space="preserve">The future of Vietnam Ho Chi Minh City hinges on redefining the architect’s role from a technical specialist to a socio-ecological facilitator. This thesis proposal establishes that current architectural practices are insufficient for HCMC’s urgent needs—climate-driven disasters, cultural erosion, and social inequality demand a paradigm shift. By grounding theory in HCMC's lived realities and empowering the</w:t>
      </w:r>
      <w:r>
        <w:t xml:space="preserve"> </w:t>
      </w:r>
      <w:r>
        <w:t xml:space="preserve">Architect</w:t>
      </w:r>
      <w:r>
        <w:t xml:space="preserve"> </w:t>
      </w:r>
      <w:r>
        <w:t xml:space="preserve">as an agent of systemic change, this research promises to deliver actionable insights that could transform how cities across Vietnam—and the Global South—approach sustainable development. The outcome will not merely be a thesis but a practical compass for architects navigating HCMC’s complex urban future.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Vietnam Ho Chi Minh City</dc:title>
  <dc:creator/>
  <dc:language>en</dc:language>
  <cp:keywords/>
  <dcterms:created xsi:type="dcterms:W3CDTF">2026-07-23T14:27:04Z</dcterms:created>
  <dcterms:modified xsi:type="dcterms:W3CDTF">2026-07-23T14:27:04Z</dcterms:modified>
</cp:coreProperties>
</file>

<file path=docProps/custom.xml><?xml version="1.0" encoding="utf-8"?>
<Properties xmlns="http://schemas.openxmlformats.org/officeDocument/2006/custom-properties" xmlns:vt="http://schemas.openxmlformats.org/officeDocument/2006/docPropsVTypes"/>
</file>