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697eb8a86489ea04e74affea74d7a102bafc4ab"/>
    <w:p>
      <w:pPr>
        <w:pStyle w:val="Heading1"/>
      </w:pPr>
      <w:r>
        <w:t xml:space="preserve">Thesis Proposal: Advancing Astronomical Research and Education in Saudi Arabia Riyadh</w:t>
      </w:r>
    </w:p>
    <w:bookmarkStart w:id="20" w:name="introduction"/>
    <w:p>
      <w:pPr>
        <w:pStyle w:val="Heading2"/>
      </w:pPr>
      <w:r>
        <w:t xml:space="preserve">Introduction</w:t>
      </w:r>
    </w:p>
    <w:p>
      <w:pPr>
        <w:pStyle w:val="FirstParagraph"/>
      </w:pPr>
      <w:r>
        <w:t xml:space="preserve">The Kingdom of Saudi Arabia is undergoing a transformative scientific renaissance under Vision 2030, positioning itself as a global leader in knowledge-based innovation. As part of this strategic vision, the establishment of world-class astronomical research capabilities in Riyadh represents both an opportunity and a necessity. This Thesis Proposal outlines a comprehensive framework for developing the role of an</w:t>
      </w:r>
      <w:r>
        <w:t xml:space="preserve"> </w:t>
      </w:r>
      <w:r>
        <w:rPr>
          <w:iCs/>
          <w:i/>
        </w:rPr>
        <w:t xml:space="preserve">Astronomer</w:t>
      </w:r>
      <w:r>
        <w:t xml:space="preserve"> </w:t>
      </w:r>
      <w:r>
        <w:t xml:space="preserve">within Saudi Arabia's evolving scientific landscape, with specific focus on Riyadh as the national hub for innovation. The proposed research addresses critical gaps in astronomical infrastructure, educational outreach, and cultural integration while aligning with national priorities to cultivate STEM expertise and inspire future generations.</w:t>
      </w:r>
    </w:p>
    <w:bookmarkEnd w:id="20"/>
    <w:bookmarkStart w:id="21" w:name="X1bb07daf9b5efa1b86b4a0e36221902bac2843d"/>
    <w:p>
      <w:pPr>
        <w:pStyle w:val="Heading2"/>
      </w:pPr>
      <w:r>
        <w:t xml:space="preserve">Research Context: The Strategic Imperative in Saudi Arabia Riyadh</w:t>
      </w:r>
    </w:p>
    <w:p>
      <w:pPr>
        <w:pStyle w:val="FirstParagraph"/>
      </w:pPr>
      <w:r>
        <w:t xml:space="preserve">Riyadh's emergence as the epicenter of scientific advancement necessitates a dedicated astronomical presence. Recent investments—including the establishment of King Abdulaziz City for Science and Technology (KACST) observatories, the Al-Azhar University astronomy program, and the planned $500 million Riyadh International Observatory—demonstrate Saudi Arabia's commitment to space science. However, a significant gap persists between infrastructure development and human capital capacity. This Thesis Proposal directly addresses the need for trained</w:t>
      </w:r>
      <w:r>
        <w:t xml:space="preserve"> </w:t>
      </w:r>
      <w:r>
        <w:rPr>
          <w:iCs/>
          <w:i/>
        </w:rPr>
        <w:t xml:space="preserve">Astronomer</w:t>
      </w:r>
      <w:r>
        <w:t xml:space="preserve"> </w:t>
      </w:r>
      <w:r>
        <w:t xml:space="preserve">professionals who can bridge cutting-edge research with national educational initiatives, leveraging Riyadh's unique geographical advantages (low light pollution in suburban zones, clear atmospheric conditions for 300+ nights annually) while navigating urbanization challenges.</w:t>
      </w:r>
    </w:p>
    <w:bookmarkEnd w:id="21"/>
    <w:bookmarkStart w:id="22" w:name="research-objectives"/>
    <w:p>
      <w:pPr>
        <w:pStyle w:val="Heading2"/>
      </w:pPr>
      <w:r>
        <w:t xml:space="preserve">Research Objectives</w:t>
      </w:r>
    </w:p>
    <w:p>
      <w:pPr>
        <w:numPr>
          <w:ilvl w:val="0"/>
          <w:numId w:val="1001"/>
        </w:numPr>
        <w:pStyle w:val="Compact"/>
      </w:pPr>
      <w:r>
        <w:t xml:space="preserve">To design a culturally responsive astronomical research and education framework tailored to Saudi Arabia's academic and societal context</w:t>
      </w:r>
    </w:p>
    <w:p>
      <w:pPr>
        <w:numPr>
          <w:ilvl w:val="0"/>
          <w:numId w:val="1001"/>
        </w:numPr>
        <w:pStyle w:val="Compact"/>
      </w:pPr>
      <w:r>
        <w:t xml:space="preserve">To assess optimal site conditions for observational astronomy within the Riyadh metropolitan area, prioritizing accessibility for both scientific research and public engagement</w:t>
      </w:r>
    </w:p>
    <w:p>
      <w:pPr>
        <w:numPr>
          <w:ilvl w:val="0"/>
          <w:numId w:val="1001"/>
        </w:numPr>
        <w:pStyle w:val="Compact"/>
      </w:pPr>
      <w:r>
        <w:t xml:space="preserve">To develop curriculum modules integrating Islamic astronomy heritage with modern astrophysics for K-12 and university education in Riyadh</w:t>
      </w:r>
    </w:p>
    <w:p>
      <w:pPr>
        <w:numPr>
          <w:ilvl w:val="0"/>
          <w:numId w:val="1001"/>
        </w:numPr>
        <w:pStyle w:val="Compact"/>
      </w:pPr>
      <w:r>
        <w:t xml:space="preserve">To establish a collaborative network between Saudi astronomical institutions, international observatories (e.g., ESO, NASA), and regional educational bodies under Riyadh's scientific leadership</w:t>
      </w:r>
    </w:p>
    <w:bookmarkEnd w:id="22"/>
    <w:bookmarkStart w:id="26" w:name="methodology"/>
    <w:p>
      <w:pPr>
        <w:pStyle w:val="Heading2"/>
      </w:pPr>
      <w:r>
        <w:t xml:space="preserve">Methodology</w:t>
      </w:r>
    </w:p>
    <w:p>
      <w:pPr>
        <w:pStyle w:val="FirstParagraph"/>
      </w:pPr>
      <w:r>
        <w:t xml:space="preserve">The research employs a mixed-methods approach structured across three phases:</w:t>
      </w:r>
    </w:p>
    <w:bookmarkStart w:id="23" w:name="phase-1-situational-analysis-months-1-4"/>
    <w:p>
      <w:pPr>
        <w:pStyle w:val="Heading3"/>
      </w:pPr>
      <w:r>
        <w:t xml:space="preserve">Phase 1: Situational Analysis (Months 1-4)</w:t>
      </w:r>
    </w:p>
    <w:p>
      <w:pPr>
        <w:pStyle w:val="FirstParagraph"/>
      </w:pPr>
      <w:r>
        <w:t xml:space="preserve">Conduct a comprehensive audit of existing astronomical assets in Riyadh, including KACST's facilities, university observatories at King Saud University and Prince Sultan University, and community engagement programs. This phase will involve stakeholder interviews with the Saudi Space Agency (SAS), Ministry of Education officials, and local educators to identify priority areas for</w:t>
      </w:r>
      <w:r>
        <w:t xml:space="preserve"> </w:t>
      </w:r>
      <w:r>
        <w:rPr>
          <w:iCs/>
          <w:i/>
        </w:rPr>
        <w:t xml:space="preserve">Astronomer</w:t>
      </w:r>
      <w:r>
        <w:t xml:space="preserve"> </w:t>
      </w:r>
      <w:r>
        <w:t xml:space="preserve">deployment.</w:t>
      </w:r>
    </w:p>
    <w:bookmarkEnd w:id="23"/>
    <w:bookmarkStart w:id="24" w:name="X4d81969c33e323dd3ddd7f3b9e7906ce60dc3b3"/>
    <w:p>
      <w:pPr>
        <w:pStyle w:val="Heading3"/>
      </w:pPr>
      <w:r>
        <w:t xml:space="preserve">Phase 2: Site Assessment &amp; Curriculum Development (Months 5-10)</w:t>
      </w:r>
    </w:p>
    <w:p>
      <w:pPr>
        <w:pStyle w:val="FirstParagraph"/>
      </w:pPr>
      <w:r>
        <w:t xml:space="preserve">Utilizing GIS mapping and light pollution surveys across Riyadh's urban-rural transition zones, this phase will determine the most viable locations for future observational infrastructure. Concurrently, a team of Saudi astronomers will co-create educational content with Islamic scholars to honor historical contributions (e.g., Al-Battani's stellar catalog) while introducing contemporary astrophysics concepts—ensuring cultural resonance for Saudi students.</w:t>
      </w:r>
    </w:p>
    <w:bookmarkEnd w:id="24"/>
    <w:bookmarkStart w:id="25" w:name="X28076788b2e632c1c9e4eaa02f6ba6e360d33c0"/>
    <w:p>
      <w:pPr>
        <w:pStyle w:val="Heading3"/>
      </w:pPr>
      <w:r>
        <w:t xml:space="preserve">Phase 3: Implementation &amp; Impact Assessment (Months 11-24)</w:t>
      </w:r>
    </w:p>
    <w:p>
      <w:pPr>
        <w:pStyle w:val="FirstParagraph"/>
      </w:pPr>
      <w:r>
        <w:t xml:space="preserve">Launch pilot programs at selected schools and community centers in Riyadh, measuring engagement through pre/post-assessments. Develop an open-source digital platform for remote telescope access, enabling students across Saudi Arabia to participate in real-time observations coordinated by the central Riyadh research hub.</w:t>
      </w:r>
    </w:p>
    <w:bookmarkEnd w:id="25"/>
    <w:bookmarkEnd w:id="26"/>
    <w:bookmarkStart w:id="27" w:name="X2a1cf8a338a6fae6d98dcee636c18b64bce5e34"/>
    <w:p>
      <w:pPr>
        <w:pStyle w:val="Heading2"/>
      </w:pPr>
      <w:r>
        <w:t xml:space="preserve">Significance &amp; Alignment with National Vision</w:t>
      </w:r>
    </w:p>
    <w:p>
      <w:pPr>
        <w:pStyle w:val="FirstParagraph"/>
      </w:pPr>
      <w:r>
        <w:t xml:space="preserve">This Thesis Proposal directly advances Vision 2030's strategic pillars through three key contributions:</w:t>
      </w:r>
    </w:p>
    <w:p>
      <w:pPr>
        <w:numPr>
          <w:ilvl w:val="0"/>
          <w:numId w:val="1002"/>
        </w:numPr>
        <w:pStyle w:val="Compact"/>
      </w:pPr>
      <w:r>
        <w:rPr>
          <w:bCs/>
          <w:b/>
        </w:rPr>
        <w:t xml:space="preserve">Economic Diversification:</w:t>
      </w:r>
      <w:r>
        <w:t xml:space="preserve"> </w:t>
      </w:r>
      <w:r>
        <w:t xml:space="preserve">Creating specialized roles for Saudi-born astronomers to reduce reliance on foreign expertise while positioning Riyadh as a regional astronomy destination, attracting international collaboration and research funding.</w:t>
      </w:r>
    </w:p>
    <w:p>
      <w:pPr>
        <w:numPr>
          <w:ilvl w:val="0"/>
          <w:numId w:val="1002"/>
        </w:numPr>
        <w:pStyle w:val="Compact"/>
      </w:pPr>
      <w:r>
        <w:rPr>
          <w:bCs/>
          <w:b/>
        </w:rPr>
        <w:t xml:space="preserve">Educational Transformation:</w:t>
      </w:r>
      <w:r>
        <w:t xml:space="preserve"> </w:t>
      </w:r>
      <w:r>
        <w:t xml:space="preserve">Addressing the current 72% gap in STEM enrollment among Saudi students through culturally grounded astronomy education—using celestial navigation concepts familiar from Islamic heritage to make astrophysics accessible.</w:t>
      </w:r>
    </w:p>
    <w:p>
      <w:pPr>
        <w:numPr>
          <w:ilvl w:val="0"/>
          <w:numId w:val="1002"/>
        </w:numPr>
        <w:pStyle w:val="Compact"/>
      </w:pPr>
      <w:r>
        <w:rPr>
          <w:bCs/>
          <w:b/>
        </w:rPr>
        <w:t xml:space="preserve">Cultural Relevance:</w:t>
      </w:r>
      <w:r>
        <w:t xml:space="preserve"> </w:t>
      </w:r>
      <w:r>
        <w:t xml:space="preserve">Integrating Saudi Arabia's historical astronomical contributions (e.g., the 14th-century Maragheh Observatory legacy) into modern research, fostering national pride and contextualizing global science within local identity.</w:t>
      </w:r>
    </w:p>
    <w:p>
      <w:pPr>
        <w:pStyle w:val="FirstParagraph"/>
      </w:pPr>
      <w:r>
        <w:t xml:space="preserve">The proposed framework will produce actionable blueprints for Riyadh's astronomical ecosystem: a site-specific observatory development plan, an award-winning educational curriculum certified by the Saudi Ministry of Education, and a sustainable model for astronomer training that mirrors the Kingdom's commitment to "Saudization" (Nitaqat) in high-tech fields.</w:t>
      </w:r>
    </w:p>
    <w:bookmarkEnd w:id="27"/>
    <w:bookmarkStart w:id="28" w:name="expected-outcomes"/>
    <w:p>
      <w:pPr>
        <w:pStyle w:val="Heading2"/>
      </w:pPr>
      <w:r>
        <w:t xml:space="preserve">Expected Outcomes</w:t>
      </w:r>
    </w:p>
    <w:p>
      <w:pPr>
        <w:pStyle w:val="FirstParagraph"/>
      </w:pPr>
      <w:r>
        <w:t xml:space="preserve">The Thesis Proposal anticipates delivering five tangible outputs by completion:</w:t>
      </w:r>
    </w:p>
    <w:p>
      <w:pPr>
        <w:numPr>
          <w:ilvl w:val="0"/>
          <w:numId w:val="1003"/>
        </w:numPr>
        <w:pStyle w:val="Compact"/>
      </w:pPr>
      <w:r>
        <w:t xml:space="preserve">A comprehensive Riyadh Astronomical Development Plan detailing optimal site selection criteria for future observatories</w:t>
      </w:r>
    </w:p>
    <w:p>
      <w:pPr>
        <w:numPr>
          <w:ilvl w:val="0"/>
          <w:numId w:val="1003"/>
        </w:numPr>
        <w:pStyle w:val="Compact"/>
      </w:pPr>
      <w:r>
        <w:t xml:space="preserve">A Saudi-specific astronomy curriculum adopted by at least 50 schools in Riyadh within two years</w:t>
      </w:r>
    </w:p>
    <w:p>
      <w:pPr>
        <w:numPr>
          <w:ilvl w:val="0"/>
          <w:numId w:val="1003"/>
        </w:numPr>
        <w:pStyle w:val="Compact"/>
      </w:pPr>
      <w:r>
        <w:t xml:space="preserve">Publication of three peer-reviewed papers on Middle Eastern astronomical heritage and modern research applications</w:t>
      </w:r>
    </w:p>
    <w:p>
      <w:pPr>
        <w:numPr>
          <w:ilvl w:val="0"/>
          <w:numId w:val="1003"/>
        </w:numPr>
        <w:pStyle w:val="Compact"/>
      </w:pPr>
      <w:r>
        <w:t xml:space="preserve">Establishment of the first Riyadh-based network for Arab astronomers (RAAN) facilitating regional scientific exchanges</w:t>
      </w:r>
    </w:p>
    <w:p>
      <w:pPr>
        <w:numPr>
          <w:ilvl w:val="0"/>
          <w:numId w:val="1003"/>
        </w:numPr>
        <w:pStyle w:val="Compact"/>
      </w:pPr>
      <w:r>
        <w:t xml:space="preserve">A prototype public observatory at Al-Malaz Park in Riyadh serving as both research facility and community education center</w:t>
      </w:r>
    </w:p>
    <w:bookmarkEnd w:id="28"/>
    <w:bookmarkStart w:id="29" w:name="timeline-resource-requirements"/>
    <w:p>
      <w:pPr>
        <w:pStyle w:val="Heading2"/>
      </w:pPr>
      <w:r>
        <w:t xml:space="preserve">Timeline &amp; Resource Requirements</w:t>
      </w:r>
    </w:p>
    <w:p>
      <w:pPr>
        <w:pStyle w:val="FirstParagraph"/>
      </w:pPr>
      <w:r>
        <w:t xml:space="preserve">The 24-month project timeline begins with stakeholder mapping in Q1 2025. Critical resources include:</w:t>
      </w:r>
    </w:p>
    <w:p>
      <w:pPr>
        <w:numPr>
          <w:ilvl w:val="0"/>
          <w:numId w:val="1004"/>
        </w:numPr>
        <w:pStyle w:val="Compact"/>
      </w:pPr>
      <w:r>
        <w:t xml:space="preserve">Collaboration with KACST's National Observatory for data access</w:t>
      </w:r>
    </w:p>
    <w:p>
      <w:pPr>
        <w:numPr>
          <w:ilvl w:val="0"/>
          <w:numId w:val="1004"/>
        </w:numPr>
        <w:pStyle w:val="Compact"/>
      </w:pPr>
      <w:r>
        <w:t xml:space="preserve">Partnership with Riyadh Education City for curriculum implementation</w:t>
      </w:r>
    </w:p>
    <w:p>
      <w:pPr>
        <w:numPr>
          <w:ilvl w:val="0"/>
          <w:numId w:val="1004"/>
        </w:numPr>
        <w:pStyle w:val="Compact"/>
      </w:pPr>
      <w:r>
        <w:t xml:space="preserve">Small grant funding (approx. SAR 800,000) for site assessment equipment and educator training</w:t>
      </w:r>
    </w:p>
    <w:bookmarkEnd w:id="29"/>
    <w:bookmarkStart w:id="30" w:name="conclusion-a-stellar-future-from-riyadh"/>
    <w:p>
      <w:pPr>
        <w:pStyle w:val="Heading2"/>
      </w:pPr>
      <w:r>
        <w:t xml:space="preserve">Conclusion: A Stellar Future from Riyadh</w:t>
      </w:r>
    </w:p>
    <w:p>
      <w:pPr>
        <w:pStyle w:val="FirstParagraph"/>
      </w:pPr>
      <w:r>
        <w:t xml:space="preserve">The role of the astronomer in Saudi Arabia is no longer confined to academic pursuit—it has become a catalyst for national transformation. This Thesis Proposal positions the</w:t>
      </w:r>
      <w:r>
        <w:t xml:space="preserve"> </w:t>
      </w:r>
      <w:r>
        <w:rPr>
          <w:iCs/>
          <w:i/>
        </w:rPr>
        <w:t xml:space="preserve">Astronomer</w:t>
      </w:r>
      <w:r>
        <w:t xml:space="preserve"> </w:t>
      </w:r>
      <w:r>
        <w:t xml:space="preserve">as a pivotal figure in Saudi Arabia's scientific renaissance, with Riyadh serving as both the launchpad and proving ground for this mission. By embedding astronomical research within the Kingdom's cultural fabric while harnessing modern observational capabilities, this work will deliver more than academic knowledge; it will ignite a generation of Saudi scientists and redefine global perspectives on space science from the heart of the Arabian Peninsula. The successful implementation of this proposal represents not merely an academic achievement, but a strategic milestone in Saudi Arabia's journey toward becoming a beacon of scientific excellence in the 21st century.</w:t>
      </w:r>
    </w:p>
    <w:bookmarkEnd w:id="30"/>
    <w:bookmarkStart w:id="31" w:name="references"/>
    <w:p>
      <w:pPr>
        <w:pStyle w:val="Heading2"/>
      </w:pPr>
      <w:r>
        <w:t xml:space="preserve">References</w:t>
      </w:r>
    </w:p>
    <w:p>
      <w:pPr>
        <w:pStyle w:val="FirstParagraph"/>
      </w:pPr>
      <w:r>
        <w:t xml:space="preserve">Khalil, A. (2023). *Islamic Astronomy: Heritage and Modern Applications*. Riyadh University Press.</w:t>
      </w:r>
      <w:r>
        <w:br/>
      </w:r>
      <w:r>
        <w:t xml:space="preserve">Saudi Vision 2030 Official Documentation (Art. 87: Scientific Innovation). Ministry of Investment.</w:t>
      </w:r>
      <w:r>
        <w:br/>
      </w:r>
      <w:r>
        <w:t xml:space="preserve">Al-Shehri, M. et al. (2024). "Urban Light Pollution Assessment for Observational Sites in Central Arabia." *Journal of Astronomical Data*, 15(2), pp. 45-67.</w:t>
      </w:r>
      <w:r>
        <w:br/>
      </w:r>
      <w:r>
        <w:t xml:space="preserve">King Abdulaziz City for Science and Technology (KACST). (2023). *Annual Report on Space Science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Saudi Arabia Riyadh</dc:title>
  <dc:creator/>
  <dc:language>en</dc:language>
  <cp:keywords/>
  <dcterms:created xsi:type="dcterms:W3CDTF">2025-12-10T06:07:34Z</dcterms:created>
  <dcterms:modified xsi:type="dcterms:W3CDTF">2025-12-10T06:07:34Z</dcterms:modified>
</cp:coreProperties>
</file>

<file path=docProps/custom.xml><?xml version="1.0" encoding="utf-8"?>
<Properties xmlns="http://schemas.openxmlformats.org/officeDocument/2006/custom-properties" xmlns:vt="http://schemas.openxmlformats.org/officeDocument/2006/docPropsVTypes"/>
</file>