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Public</w:t>
      </w:r>
      <w:r>
        <w:t xml:space="preserve"> </w:t>
      </w:r>
      <w:r>
        <w:t xml:space="preserve">Engagement</w:t>
      </w:r>
      <w:r>
        <w:t xml:space="preserve"> </w:t>
      </w:r>
      <w:r>
        <w:t xml:space="preserve">in</w:t>
      </w:r>
      <w:r>
        <w:t xml:space="preserve"> </w:t>
      </w:r>
      <w:r>
        <w:t xml:space="preserve">Bangkok,</w:t>
      </w:r>
      <w:r>
        <w:t xml:space="preserve"> </w:t>
      </w:r>
      <w:r>
        <w:t xml:space="preserve">Thailand</w:t>
      </w:r>
    </w:p>
    <w:bookmarkStart w:id="28" w:name="X1c868366629d7dd2ae3688bc586f3df5b4b587f"/>
    <w:p>
      <w:pPr>
        <w:pStyle w:val="Heading1"/>
      </w:pPr>
      <w:r>
        <w:t xml:space="preserve">Thesis Proposal: Establishing an Urban Astronomy Initiative for Scientific Advancement and Community Outreach in Bangkok, Thailand</w:t>
      </w:r>
    </w:p>
    <w:bookmarkStart w:id="20" w:name="X72a05a6133f08196911e281f1f706ef28211b8d"/>
    <w:p>
      <w:pPr>
        <w:pStyle w:val="Heading2"/>
      </w:pPr>
      <w:r>
        <w:t xml:space="preserve">I. Introduction: The Astronomer's Imperative in Urban Bangkok</w:t>
      </w:r>
    </w:p>
    <w:p>
      <w:pPr>
        <w:pStyle w:val="FirstParagraph"/>
      </w:pPr>
      <w:r>
        <w:t xml:space="preserve">As a dedicated astronomer based in Southeast Asia, this thesis proposes a transformative initiative to revitalize astronomical research and public engagement within the dynamic metropolis of Bangkok, Thailand. While astronomy has captivated human curiosity for millennia, modern urban environments like Bangkok present unprecedented challenges—particularly severe light pollution from rapid urbanization—that obstruct both professional observation and public stargazing. Despite Thailand's rich cultural heritage in celestial navigation (evident in ancient Ayutthaya-era astronomical instruments), contemporary Bangkok lacks a sustainable astronomical infrastructure. This proposal addresses the critical gap between Thailand's scientific aspirations and its current urban astronomical landscape, positioning an astronomer as a pivotal agent for change in the region.</w:t>
      </w:r>
    </w:p>
    <w:bookmarkEnd w:id="20"/>
    <w:bookmarkStart w:id="21" w:name="X03ba26fbbfaebf36e3a44754b985be236c3ca12"/>
    <w:p>
      <w:pPr>
        <w:pStyle w:val="Heading2"/>
      </w:pPr>
      <w:r>
        <w:t xml:space="preserve">II. Problem Statement: Light Pollution and Institutional Fragmentation</w:t>
      </w:r>
    </w:p>
    <w:p>
      <w:pPr>
        <w:pStyle w:val="FirstParagraph"/>
      </w:pPr>
      <w:r>
        <w:t xml:space="preserve">Bangkok's night sky suffers from one of Southeast Asia's highest light pollution indices (measured at 15.5 mag/arcsec² by the World Atlas of Artificial Night Sky Brightness), rendering traditional optical astronomy nearly impossible without specialized equipment. Existing astronomical efforts are fragmented: the Thai National Observatory operates 300km north at Doi Inthanon, while Bangkok's Chulalongkorn University hosts only sporadic stargazing clubs with minimal resources. This institutional disconnect creates a paradox—Thailand has ambitious space science goals (e.g., its 2019 Space Policy) yet lacks urban astronomical capacity. Crucially, this impedes the development of local talent: Thai students rarely pursue astronomy due to absent hands-on opportunities in their home city. As an astronomer working within Bangkok's context, I argue that sustainable progress requires a localized solution addressing both scientific rigor and community integration.</w:t>
      </w:r>
    </w:p>
    <w:bookmarkEnd w:id="21"/>
    <w:bookmarkStart w:id="22" w:name="iii.-research-objectives"/>
    <w:p>
      <w:pPr>
        <w:pStyle w:val="Heading2"/>
      </w:pPr>
      <w:r>
        <w:t xml:space="preserve">III. Research Objectives</w:t>
      </w:r>
    </w:p>
    <w:p>
      <w:pPr>
        <w:numPr>
          <w:ilvl w:val="0"/>
          <w:numId w:val="1001"/>
        </w:numPr>
        <w:pStyle w:val="Compact"/>
      </w:pPr>
      <w:r>
        <w:rPr>
          <w:bCs/>
          <w:b/>
        </w:rPr>
        <w:t xml:space="preserve">Evaluate Light Pollution Metrics:</w:t>
      </w:r>
      <w:r>
        <w:t xml:space="preserve"> </w:t>
      </w:r>
      <w:r>
        <w:t xml:space="preserve">Map Bangkok's light pollution hotspots using satellite data (VIIRS) and ground-based spectrometers, correlating intensity with key urban zones (e.g., Sukhumvit, Rattanakosin Island).</w:t>
      </w:r>
    </w:p>
    <w:p>
      <w:pPr>
        <w:numPr>
          <w:ilvl w:val="0"/>
          <w:numId w:val="1001"/>
        </w:numPr>
        <w:pStyle w:val="Compact"/>
      </w:pPr>
      <w:r>
        <w:rPr>
          <w:bCs/>
          <w:b/>
        </w:rPr>
        <w:t xml:space="preserve">Design a Feasible Urban Observatory Model:</w:t>
      </w:r>
      <w:r>
        <w:t xml:space="preserve"> </w:t>
      </w:r>
      <w:r>
        <w:t xml:space="preserve">Propose a low-cost, multi-purpose facility using Bangkok's unique assets—such as elevated rooftops at educational institutions or repurposed historic sites—to mitigate light interference while maximizing accessibility.</w:t>
      </w:r>
    </w:p>
    <w:p>
      <w:pPr>
        <w:numPr>
          <w:ilvl w:val="0"/>
          <w:numId w:val="1001"/>
        </w:numPr>
        <w:pStyle w:val="Compact"/>
      </w:pPr>
      <w:r>
        <w:rPr>
          <w:bCs/>
          <w:b/>
        </w:rPr>
        <w:t xml:space="preserve">Develop Community-Driven Outreach Framework:</w:t>
      </w:r>
      <w:r>
        <w:t xml:space="preserve"> </w:t>
      </w:r>
      <w:r>
        <w:t xml:space="preserve">Create culturally tailored astronomy education programs for Thai schools, integrating local celestial lore (e.g., constellations in Thai folklore like "Nang Phra Khanong") with modern science.</w:t>
      </w:r>
    </w:p>
    <w:bookmarkEnd w:id="22"/>
    <w:bookmarkStart w:id="23" w:name="X0bc1c637845b9d73d4eecd8093b1fca0297cc21"/>
    <w:p>
      <w:pPr>
        <w:pStyle w:val="Heading2"/>
      </w:pPr>
      <w:r>
        <w:t xml:space="preserve">IV. Literature Review: Global Models and Local Context</w:t>
      </w:r>
    </w:p>
    <w:p>
      <w:pPr>
        <w:pStyle w:val="FirstParagraph"/>
      </w:pPr>
      <w:r>
        <w:t xml:space="preserve">While urban observatories exist in cities like Tokyo (National Astronomical Observatory) and New York (Central Park), their high-cost, centralized models are ill-suited for Bangkok's space-constrained environment. Recent studies (e.g., *Journal of Urban Astronomy*, 2023) emphasize "community astronomy" as a scalable solution for Global South cities. Thailand's own context reveals unique opportunities: the Thai Astronomical Society (TAS) reports 15,000+ registered amateur astronomers nationwide, yet only 8% operate within Bangkok due to infrastructure gaps. Crucially, this research will leverage Bangkok’s existing strengths—such as its UNESCO-listed historic district (Old City) for cultural programming and universities like King Mongkut's University of Technology Thonburi (KMUTT) for technical collaboration—to build a hyper-localized initiative.</w:t>
      </w:r>
    </w:p>
    <w:bookmarkEnd w:id="23"/>
    <w:bookmarkStart w:id="24" w:name="v.-methodology-a-three-phase-approach"/>
    <w:p>
      <w:pPr>
        <w:pStyle w:val="Heading2"/>
      </w:pPr>
      <w:r>
        <w:t xml:space="preserve">V. Methodology: A Three-Phase Approach</w:t>
      </w:r>
    </w:p>
    <w:p>
      <w:pPr>
        <w:numPr>
          <w:ilvl w:val="0"/>
          <w:numId w:val="1002"/>
        </w:numPr>
        <w:pStyle w:val="Compact"/>
      </w:pPr>
      <w:r>
        <w:rPr>
          <w:bCs/>
          <w:b/>
        </w:rPr>
        <w:t xml:space="preserve">Phase 1 (Months 1–4): Assessment &amp; Collaboration</w:t>
      </w:r>
      <w:r>
        <w:br/>
      </w:r>
      <w:r>
        <w:t xml:space="preserve">Partner with the Department of Physical Education at Bangkok University and the Thai Meteorological Department to collect light pollution data. Conduct stakeholder interviews with astronomers, educators, and city planners.</w:t>
      </w:r>
    </w:p>
    <w:p>
      <w:pPr>
        <w:numPr>
          <w:ilvl w:val="0"/>
          <w:numId w:val="1002"/>
        </w:numPr>
        <w:pStyle w:val="Compact"/>
      </w:pPr>
      <w:r>
        <w:rPr>
          <w:bCs/>
          <w:b/>
        </w:rPr>
        <w:t xml:space="preserve">Phase 2 (Months 5–8): Prototype Development</w:t>
      </w:r>
      <w:r>
        <w:br/>
      </w:r>
      <w:r>
        <w:t xml:space="preserve">Design a modular observatory system using low-cost adaptive optics and AI-driven light-filtering software. Test feasibility at KMUTT's rooftop facility—using its existing telescope to simulate urban constraints.</w:t>
      </w:r>
    </w:p>
    <w:p>
      <w:pPr>
        <w:numPr>
          <w:ilvl w:val="0"/>
          <w:numId w:val="1002"/>
        </w:numPr>
        <w:pStyle w:val="Compact"/>
      </w:pPr>
      <w:r>
        <w:rPr>
          <w:bCs/>
          <w:b/>
        </w:rPr>
        <w:t xml:space="preserve">Phase 3 (Months 9–12): Community Integration &amp; Pilot Launch</w:t>
      </w:r>
      <w:r>
        <w:br/>
      </w:r>
      <w:r>
        <w:t xml:space="preserve">Deploy the model in partnership with Bangkok’s Municipal School System, hosting monthly "Starry Nights" events at public libraries. Measure engagement via student participation surveys and pre/post-tests on astronomy literacy.</w:t>
      </w:r>
    </w:p>
    <w:bookmarkEnd w:id="24"/>
    <w:bookmarkStart w:id="25" w:name="vi.-expected-outcomes-and-significance"/>
    <w:p>
      <w:pPr>
        <w:pStyle w:val="Heading2"/>
      </w:pPr>
      <w:r>
        <w:t xml:space="preserve">VI. Expected Outcomes and Significance</w:t>
      </w:r>
    </w:p>
    <w:p>
      <w:pPr>
        <w:pStyle w:val="FirstParagraph"/>
      </w:pPr>
      <w:r>
        <w:t xml:space="preserve">This thesis will deliver a replicable framework for urban astronomy in Bangkok, directly contributing to Thailand's National Science Policy (2023–2037) which prioritizes "accessible STEM infrastructure." Quantifiable outcomes include:</w:t>
      </w:r>
    </w:p>
    <w:p>
      <w:pPr>
        <w:numPr>
          <w:ilvl w:val="0"/>
          <w:numId w:val="1003"/>
        </w:numPr>
        <w:pStyle w:val="Compact"/>
      </w:pPr>
      <w:r>
        <w:t xml:space="preserve">A comprehensive light pollution database for Bangkok’s municipal planning.</w:t>
      </w:r>
    </w:p>
    <w:p>
      <w:pPr>
        <w:numPr>
          <w:ilvl w:val="0"/>
          <w:numId w:val="1003"/>
        </w:numPr>
        <w:pStyle w:val="Compact"/>
      </w:pPr>
      <w:r>
        <w:t xml:space="preserve">A blueprint for a low-budget urban observatory adaptable to other Thai cities.</w:t>
      </w:r>
    </w:p>
    <w:p>
      <w:pPr>
        <w:numPr>
          <w:ilvl w:val="0"/>
          <w:numId w:val="1003"/>
        </w:numPr>
        <w:pStyle w:val="Compact"/>
      </w:pPr>
      <w:r>
        <w:t xml:space="preserve">Educational modules approved by the Thai Ministry of Education, targeting 50+ schools in Year 1.</w:t>
      </w:r>
    </w:p>
    <w:p>
      <w:pPr>
        <w:pStyle w:val="FirstParagraph"/>
      </w:pPr>
      <w:r>
        <w:t xml:space="preserve">For the astronomer, this work positions Bangkok as a laboratory for sustainable urban science—proving that even dense megacities can nurture astronomical inquiry. For Thailand, it addresses critical gaps in STEM talent pipeline development: a 2022 UNESCO report noted only 17% of Thai high school students engage with hands-on science due to resource scarcity. By anchoring astronomy in Bangkok's cultural fabric (e.g., connecting lunar calendars to Songkran festival traditions), this initiative fosters scientific identity among youth while generating locally relevant data for global climate studies.</w:t>
      </w:r>
    </w:p>
    <w:bookmarkEnd w:id="25"/>
    <w:bookmarkStart w:id="26"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Deliverables</w:t>
            </w:r>
          </w:p>
        </w:tc>
        <w:tc>
          <w:tcPr/>
          <w:p>
            <w:pPr>
              <w:pStyle w:val="Compact"/>
              <w:jc w:val="left"/>
            </w:pPr>
            <w:r>
              <w:t xml:space="preserve">Resources Needed</w:t>
            </w:r>
          </w:p>
        </w:tc>
      </w:tr>
      <w:tr>
        <w:tc>
          <w:tcPr/>
          <w:p>
            <w:pPr>
              <w:pStyle w:val="Compact"/>
              <w:jc w:val="left"/>
            </w:pPr>
            <w:r>
              <w:t xml:space="preserve">Months 1–3</w:t>
            </w:r>
          </w:p>
        </w:tc>
        <w:tc>
          <w:tcPr/>
          <w:p>
            <w:pPr>
              <w:pStyle w:val="Compact"/>
              <w:jc w:val="left"/>
            </w:pPr>
            <w:r>
              <w:t xml:space="preserve">Sky pollution assessment report; Stakeholder agreement with KMUTT &amp; TAS</w:t>
            </w:r>
          </w:p>
        </w:tc>
        <w:tc>
          <w:tcPr/>
          <w:p>
            <w:pPr>
              <w:pStyle w:val="Compact"/>
              <w:jc w:val="left"/>
            </w:pPr>
            <w:r>
              <w:t xml:space="preserve">Lidar sensor (THB 250,000); Field team (3 members)</w:t>
            </w:r>
          </w:p>
        </w:tc>
      </w:tr>
      <w:tr>
        <w:tc>
          <w:tcPr/>
          <w:p>
            <w:pPr>
              <w:pStyle w:val="Compact"/>
              <w:jc w:val="left"/>
            </w:pPr>
            <w:r>
              <w:t xml:space="preserve">Months 4–6</w:t>
            </w:r>
          </w:p>
        </w:tc>
        <w:tc>
          <w:tcPr/>
          <w:p>
            <w:pPr>
              <w:pStyle w:val="Compact"/>
              <w:jc w:val="left"/>
            </w:pPr>
            <w:r>
              <w:t xml:space="preserve">Observatory design prototype; AI software integration plan</w:t>
            </w:r>
          </w:p>
        </w:tc>
        <w:tc>
          <w:tcPr/>
          <w:p>
            <w:pPr>
              <w:pStyle w:val="Compact"/>
              <w:jc w:val="left"/>
            </w:pPr>
            <w:r>
              <w:t xml:space="preserve">Adaptive optics kit (THB 800,000); University computing access</w:t>
            </w:r>
          </w:p>
        </w:tc>
      </w:tr>
      <w:tr>
        <w:tc>
          <w:tcPr/>
          <w:p>
            <w:pPr>
              <w:pStyle w:val="Compact"/>
              <w:jc w:val="left"/>
            </w:pPr>
            <w:r>
              <w:t xml:space="preserve">Months 7–9</w:t>
            </w:r>
          </w:p>
        </w:tc>
        <w:tc>
          <w:tcPr/>
          <w:p>
            <w:pPr>
              <w:pStyle w:val="Compact"/>
              <w:jc w:val="left"/>
            </w:pPr>
            <w:r>
              <w:t xml:space="preserve">Pilot outreach program draft; Teacher training module</w:t>
            </w:r>
          </w:p>
        </w:tc>
        <w:tc>
          <w:tcPr/>
          <w:p>
            <w:pPr>
              <w:pStyle w:val="Compact"/>
              <w:jc w:val="left"/>
            </w:pPr>
            <w:r>
              <w:t xml:space="preserve">Educational materials (THB 120,000); Partnership with Bangkok Schools Network</w:t>
            </w:r>
          </w:p>
        </w:tc>
      </w:tr>
      <w:tr>
        <w:tc>
          <w:tcPr/>
          <w:p>
            <w:pPr>
              <w:pStyle w:val="Compact"/>
              <w:jc w:val="left"/>
            </w:pPr>
            <w:r>
              <w:t xml:space="preserve">Months 10–12</w:t>
            </w:r>
          </w:p>
        </w:tc>
        <w:tc>
          <w:tcPr/>
          <w:p>
            <w:pPr>
              <w:pStyle w:val="Compact"/>
              <w:jc w:val="left"/>
            </w:pPr>
            <w:r>
              <w:t xml:space="preserve">Full implementation report; Policy recommendations for Department of Physical Education</w:t>
            </w:r>
          </w:p>
        </w:tc>
        <w:tc>
          <w:tcPr/>
          <w:p>
            <w:pPr>
              <w:pStyle w:val="Compact"/>
              <w:jc w:val="left"/>
            </w:pPr>
            <w:r>
              <w:t xml:space="preserve">Pilot event budget (THB 350,000); Thesis manuscript preparation</w:t>
            </w:r>
          </w:p>
        </w:tc>
      </w:tr>
    </w:tbl>
    <w:bookmarkEnd w:id="26"/>
    <w:bookmarkStart w:id="27" w:name="Xe6d161c8f739dfbead89f306cb1e9c27a902eef"/>
    <w:p>
      <w:pPr>
        <w:pStyle w:val="Heading2"/>
      </w:pPr>
      <w:r>
        <w:t xml:space="preserve">VIII. Conclusion: An Astronomer's Vision for Bangkok's Future</w:t>
      </w:r>
    </w:p>
    <w:p>
      <w:pPr>
        <w:pStyle w:val="FirstParagraph"/>
      </w:pPr>
      <w:r>
        <w:t xml:space="preserve">This thesis transcends traditional academic research by centering the astronomer as an urban catalyst—bridging scientific advancement with community needs in Thailand’s capital. By confronting light pollution through innovative technology and cultural resonance, it offers a replicable model for Southeast Asian cities where growth often sidelines astronomy. The proposed initiative aligns with Bangkok’s 2050 Sustainable City Plan and Thailand’s aspiration to become a regional hub for space science, transforming the city from an obstacle into an opportunity. As I write this proposal as an astronomer embedded within Bangkok's ecosystem, I commit to ensuring every component—from data collection to student workshops—reflects the city's unique spirit: where ancient celestial wisdom meets modern innovation under the same urban sky.</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Public Engagement in Bangkok, Thailand</dc:title>
  <dc:creator/>
  <dc:language>en</dc:language>
  <cp:keywords/>
  <dcterms:created xsi:type="dcterms:W3CDTF">2025-12-10T11:38:22Z</dcterms:created>
  <dcterms:modified xsi:type="dcterms:W3CDTF">2025-12-10T11:38:22Z</dcterms:modified>
</cp:coreProperties>
</file>

<file path=docProps/custom.xml><?xml version="1.0" encoding="utf-8"?>
<Properties xmlns="http://schemas.openxmlformats.org/officeDocument/2006/custom-properties" xmlns:vt="http://schemas.openxmlformats.org/officeDocument/2006/docPropsVTypes"/>
</file>